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B77028" w:rsidTr="00016A2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B77028" w:rsidTr="00016A2D">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B77028" w:rsidTr="00016A2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r>
      <w:tr w:rsidR="00B77028" w:rsidTr="00016A2D">
        <w:tblPrEx>
          <w:tblCellMar>
            <w:top w:w="0" w:type="dxa"/>
            <w:bottom w:w="0" w:type="dxa"/>
          </w:tblCellMar>
        </w:tblPrEx>
        <w:trPr>
          <w:trHeight w:val="300"/>
        </w:trPr>
        <w:tc>
          <w:tcPr>
            <w:tcW w:w="5230" w:type="dxa"/>
            <w:tcBorders>
              <w:top w:val="nil"/>
              <w:left w:val="nil"/>
              <w:bottom w:val="nil"/>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B77028" w:rsidTr="00016A2D">
        <w:tblPrEx>
          <w:tblCellMar>
            <w:top w:w="0" w:type="dxa"/>
            <w:bottom w:w="0" w:type="dxa"/>
          </w:tblCellMar>
        </w:tblPrEx>
        <w:trPr>
          <w:trHeight w:val="300"/>
        </w:trPr>
        <w:tc>
          <w:tcPr>
            <w:tcW w:w="10465" w:type="dxa"/>
            <w:tcBorders>
              <w:top w:val="nil"/>
              <w:left w:val="nil"/>
              <w:bottom w:val="nil"/>
              <w:right w:val="nil"/>
            </w:tcBorders>
            <w:vAlign w:val="bottom"/>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B77028" w:rsidTr="00016A2D">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B77028" w:rsidTr="00016A2D">
        <w:tblPrEx>
          <w:tblCellMar>
            <w:top w:w="0" w:type="dxa"/>
            <w:bottom w:w="0" w:type="dxa"/>
          </w:tblCellMar>
        </w:tblPrEx>
        <w:trPr>
          <w:trHeight w:val="200"/>
        </w:trPr>
        <w:tc>
          <w:tcPr>
            <w:tcW w:w="3415"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2024 рік</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2024 рiк</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B77028" w:rsidTr="00016A2D">
        <w:tblPrEx>
          <w:tblCellMar>
            <w:top w:w="0" w:type="dxa"/>
            <w:bottom w:w="0" w:type="dxa"/>
          </w:tblCellMar>
        </w:tblPrEx>
        <w:trPr>
          <w:trHeight w:val="300"/>
        </w:trPr>
        <w:tc>
          <w:tcPr>
            <w:tcW w:w="3415" w:type="dxa"/>
            <w:vMerge w:val="restart"/>
            <w:tcBorders>
              <w:top w:val="nil"/>
              <w:left w:val="nil"/>
              <w:bottom w:val="nil"/>
              <w:right w:val="nil"/>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B77028" w:rsidTr="00016A2D">
        <w:tblPrEx>
          <w:tblCellMar>
            <w:top w:w="0" w:type="dxa"/>
            <w:bottom w:w="0" w:type="dxa"/>
          </w:tblCellMar>
        </w:tblPrEx>
        <w:trPr>
          <w:trHeight w:val="300"/>
        </w:trPr>
        <w:tc>
          <w:tcPr>
            <w:tcW w:w="3415" w:type="dxa"/>
            <w:vMerge/>
            <w:tcBorders>
              <w:top w:val="nil"/>
              <w:left w:val="nil"/>
              <w:bottom w:val="nil"/>
              <w:right w:val="nil"/>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sectPr w:rsidR="00B77028">
          <w:pgSz w:w="12240" w:h="15840"/>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адже вiдокремленi пiдроздiли в Товариствi вiдсутнi.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2.Змiна прав на акцiїї у звiтньому роцi не було.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w:t>
      </w:r>
      <w:r>
        <w:rPr>
          <w:rFonts w:ascii="Times New Roman CYR" w:hAnsi="Times New Roman CYR" w:cs="Times New Roman CYR"/>
          <w:sz w:val="24"/>
          <w:szCs w:val="24"/>
        </w:rPr>
        <w:lastRenderedPageBreak/>
        <w:t xml:space="preserve">заповнюється через вiдсутнiсть емiсiї емiтентом цiльових корпоративних облiгацiй.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3.10. Iнформацiя про наявнiсть у власностi працiвникiв емiтента акцiй у розмiрi понад 0,1 вiдсотка розмiру статутного капiталу такого емiтента не заповнюється у зв`яку з вiдсутнiстю у власностi працiвникiв емiтента акцiй у розмiрi понад 0,1 вiдсотка розмiру статутного капiталу.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не включена до складу рiчної iнформацiї, так як в емiтента в звiтному роцi не було змiни таких акцiонерiв.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1.1.2.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Складова </w:t>
      </w:r>
      <w:r>
        <w:rPr>
          <w:rFonts w:ascii="Times New Roman CYR" w:hAnsi="Times New Roman CYR" w:cs="Times New Roman CYR"/>
          <w:sz w:val="24"/>
          <w:szCs w:val="24"/>
        </w:rPr>
        <w:lastRenderedPageBreak/>
        <w:t>змiсту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у зв'язку з вiйськовою агресiєю Росiйської Федерацiї проти України початку звiтного року та введенням воєнного стану в Українi вiдповiдно до Указу Президента України вiд 24 лютого 2022 року № 64/2022 "Про введення воєнного стану в Українi", затвердженого Законом України вiд 24 лютого 2022 року № 2102-IX, та виникненням проблем щодо провадження господарської дiяльностi, забезпечення збереження майна та працiвникiв товариства, рiчнi та позачерговi загальнi збори акцiонерiв не проводились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1.1.4.2.У звiтньому роцi наглядова рада не засiдала та не приймала рiшень , у зв'язку з вiдсутнiстю членiв наглядової ради в Українi.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5.Складова змiсту "Перелiк посилань на внутрiшнi документи особи , що розмiщенi на веб-сайтi особи", 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VI.Складова змiсту "Роздiл V" не включена до складу рiчної iнформацiї у звiтньому роцi регульованої iнформацiїї не було.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sectPr w:rsidR="00B77028">
          <w:pgSz w:w="12240" w:h="15840"/>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вул.Радiщева,2. Фактичне: 88015, Україна, Закарпатська обл., м.Ужгород, вул.Радiщева,2</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Середнє</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Мале</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137</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sectPr w:rsidR="00B77028">
          <w:pgSz w:w="12240" w:h="15840"/>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Інформація про виконання</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ПШ № 091312</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05.11.2024</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17000,00грн</w:t>
            </w:r>
          </w:p>
        </w:tc>
        <w:tc>
          <w:tcPr>
            <w:tcW w:w="44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Адмiнiстративно-господарський штраф</w:t>
            </w:r>
          </w:p>
        </w:tc>
        <w:tc>
          <w:tcPr>
            <w:tcW w:w="38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12.11.2024р.</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ППР№4863/07-16-04-05</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24.05.2024</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ГУ ДПС України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в розмiрi 7295,34грн</w:t>
            </w:r>
          </w:p>
        </w:tc>
        <w:tc>
          <w:tcPr>
            <w:tcW w:w="44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несвоєчасну сплату податку на нерухоме майно</w:t>
            </w:r>
          </w:p>
        </w:tc>
        <w:tc>
          <w:tcPr>
            <w:tcW w:w="38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03.06.2024р.</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ППР№4864/07-16-04-05</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24.05.2024</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ГУ ДПС України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в розмiрi 29538,09грн.</w:t>
            </w:r>
          </w:p>
        </w:tc>
        <w:tc>
          <w:tcPr>
            <w:tcW w:w="44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несвоєчасну сплату податку на нерухоме майно</w:t>
            </w:r>
          </w:p>
        </w:tc>
        <w:tc>
          <w:tcPr>
            <w:tcW w:w="38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03.06.2024р.</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sectPr w:rsidR="00B77028">
          <w:pgSz w:w="16837" w:h="11905"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2 осiб</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НР</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sectPr w:rsidR="00B77028">
          <w:pgSz w:w="12240" w:h="15840"/>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ринку авторинку АТ "Ужгородське АТП 12107"</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 працює</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41</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Повне найменування, ідентифікаційний код юридичної </w:t>
            </w:r>
            <w:r>
              <w:rPr>
                <w:rFonts w:ascii="Times New Roman CYR" w:hAnsi="Times New Roman CYR" w:cs="Times New Roman CYR"/>
                <w:sz w:val="20"/>
                <w:szCs w:val="20"/>
              </w:rPr>
              <w:lastRenderedPageBreak/>
              <w:t>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Непогашена судимість за корисливі та посадові </w:t>
            </w:r>
            <w:r>
              <w:rPr>
                <w:rFonts w:ascii="Times New Roman CYR" w:hAnsi="Times New Roman CYR" w:cs="Times New Roman CYR"/>
                <w:sz w:val="20"/>
                <w:szCs w:val="20"/>
              </w:rPr>
              <w:lastRenderedPageBreak/>
              <w:t>злочини (Так/Ні)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Стать чоловіча/ жіноча - (ч/ж)</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B77028"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45</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B77028" w:rsidTr="00016A2D">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B77028" w:rsidTr="00016A2D">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18 486 750</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35,65</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18 486 750</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B77028"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0"/>
          <w:szCs w:val="20"/>
        </w:rPr>
        <w:sectPr w:rsidR="00B77028">
          <w:pgSz w:w="16837" w:h="11905"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(експлуатацiї) яких бiльше одного року та вартiсть яких бiльше 20000 грн.. Земельнi дiлянки враховуються по переоцiненiй вартостi. Регулярнiсть переоцiнки залежить вiд змiни справедливої вартостi активiв, якi переоцiнюються.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звiтнього року  переоцiнка вартостi земельних дiлянок не проводилась через вiдсутнiсть суттєвих причин для її проведення. Амортизацiя основних засобiв призначена для списання суми, що амортизується, впродовж термiну корисного використання активу i розраховується з використанням прямолiнiйного методу. Лiквiдацiйна вартiсть, термiни корисного використання i метод нарахування амортизацiї передивляються на кiнець кожного фiнансового року. Вплив будь-яких змiн, що виникають вiд оцiнок, зроблених в попереднi перiоди, враховується як змiна облiкової оцiнки. Iнвестицiйна  нерухомiсть первiсно оцiнюється за собiвартiстю, включаючи витрати на операцiю. Оцiнка пiсля визнання здiйснюється на основi моделi iсторичної собiвартостi. Нематерiальнi активи зкiнцевими термiнами використання, придбанi в рамках окремих операцiй, враховуються за вартiстю придбання за вирахуванням накопиченої амортизацiї i накопиченого збитку вiд знецiнення. Амортизацiя нараховується рiвномiрно протягом термiну корисного використання нематерiальних активiв. Очiкуванi термiни корисного використання i метод нарахування амортизацiї аналiзуються на кiнець кожного звiтного перiоду. Нематерiальнi активи, якi виникають в результатi договiрних або iнших юридичних прав, амортизуються протягом термiну чинностi цих прав.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виробництва на пiдприємствi немає. До малоцiнних необоротнiх активiв вiдносяться активи з термiном корисного використання бiльше одного року та вартiстю менше 20000грн.Амортизацiя по таких активах нараховується впершому мiсяцi використання об'єктiв у розмiрi 100 вiдсоткiв їх вартостi.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Грошовi кошти включають суму грошей в касi пiдприємства та на рахунках в банку. Суми в iноземних валютах перерахованi по курсу НБУ на момент складання звiту. Пiдприємство має валютнi рахунки в доларах США та Євро для розрахункiв з iноземними партнерами.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Дебiторська заборгованiсть.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 визначається як рiзниця мiж балансовою вартiстю та теперiшньою вартiстю очiкуваних майбутнiх грошових потокiв.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Кредиторська заборгованiсть складається в основному за отриманi вiд постачальникiв та вчасно не оплаченi пальне, запчастини та iншi витратнi матерiали, а також iз поточної заборгованостi перед працiвниками по оплатi працi, та по сплатi поточних платежiв i податкiв в бюджет та соцiальнi фонди. Нереальної та простроченої заборгованостi по пiдприємству немає.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Доходи вiд поточної дiяльностi Товариства складаються з доходiв вiд надання рiзного виду послуг. Їх величина визнається в розмiрi справедливої вартостi винагороди, отриманої або яка пiдлягає отриманню, i являє собою суми до отримання за послуги, наданi в ходi звичайної господарської дiяльностi, за вирахуванням податку на додану вартiсть (ПДВ). Дохiд вiд надання автотранспортних послуг визнається по моменту фактичного виконання послуг за встановленими тарифами ( по маршрутних перевезеннях- на дату реалiзацiї квиткiв на перевезення пасажирiв , по перевезеннях на замовлення юридичних та фiзичних осiб - на дату фактичного виконання замовлення та пiдприсання актiв виконаних робiт). Доходи вiд здачi в оренду майна, надання послуг з передрейсових медоглядiв водiїв та техоглядiв автотранспорту, стоянки автобусiв- визнаються з моменту пiдписання актiв приймання - передачi на виконанi послуги. Iншi доходи (по авторечовому ринку i iн.) , а також отриманi на протязi року бюджетнi субвенцiї на покриття збиткiв вiд перевезення пiльгових категорiй населення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визнаються по моменту отримання коштiв на поточнi рахунки в банку та в касу пiдприємства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 Основний дохiд пiдприємство отримує вiд пасажирських автоперевезень. Частка чистого доходу вiд надання послуг з пасажирських автоперевезень в складi всiх наданих послуг становить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 -32877.0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2020р.- 16659.0 тис.грн.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2021р - 16589.0 тис.грн.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2022р. - 29454.0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2023р.- 35656.0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2024р.- 33652.0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 мiжнародних, в тому числi туристичних перевезень; розвиток мiських та примiських перевезень пасажирiв автобусами великої мiсткостi; введення нового сервiсного обслуговування приватного автотранспорту та розширення послуг по передрейсовому обслуговуваннi та технiчних оглядах автотранспорту iнших перевiзникiв; проведення дiагностики транспортних засобiв; розширення спектру послуг на ринку.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8. Опис ризикiв, як притаманнi дiяльностi особи, пiдходи до управлiння ризиками, заходи особи щодо </w:t>
      </w:r>
      <w:r>
        <w:rPr>
          <w:rFonts w:ascii="Times New Roman CYR" w:hAnsi="Times New Roman CYR" w:cs="Times New Roman CYR"/>
          <w:sz w:val="24"/>
          <w:szCs w:val="24"/>
        </w:rPr>
        <w:lastRenderedPageBreak/>
        <w:t>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емiтента не залежить вiд сезонних змiн.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 необхiдностi залучення для цiєї мети автотранспорту iнших перевiзникiв через оперативну оренду; проводити роботу по збiльшенню рентабельностi закордонних перевезень. Товариство в минулих роках брало участь в конкурсах для продовження дiючих дозволiв на маршрутнi перевезення, а також розглядає можливiсть вiдкриття нових мiжнародних маршрутiв.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проводити роботу по покращенню благоустрою територiї на авторечовому ринку та збiльшити спектр послуг для фiзичних та юридичних осiб як на ринку, так i використовуючи базу автотранспортного пiдприємства.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Товариством проведено ряд робiт по капiтальному ремонту кузовiв автобусiв та їх переобладнання. Загальна вартiсть капiтального ремонту та модернiзацiї транспортних засобiв становить 299,0 тис.грн. за рахунок власних обiгових коштiв пiдприємства. Всього за 5 останнiх рокiв було придбано, споруджено та проведено капiтальний ремонт основних засобiв на загальну суму 1427,9тис.грн.(без ПДВ). Джерелом фiнансування даного придбання, ремонтiв та переобладнання є власнi кошти пiдприємства.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Воєнний стан, який в даний час запроваджений в країнi через збройну агресiю на Україну, вплинув на зменшення пасажиропотоку на примiських та мiжмiських перевезеннях, а також значно скоротились спецiальнi нерегулярнi перевезення.. Слiд вiдмiтити збiльшення пасажиропотоку на регулярних маршрутних мiжнародних перевезеннях. Також iснує нестача водiїв через плиннiсть кадрiв та мобiлiзацiю.</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Фiнансово-економiчними факторами, якi впливають на результати дiяльностi пiдприємства є значний </w:t>
      </w:r>
      <w:r>
        <w:rPr>
          <w:rFonts w:ascii="Times New Roman CYR" w:hAnsi="Times New Roman CYR" w:cs="Times New Roman CYR"/>
          <w:sz w:val="24"/>
          <w:szCs w:val="24"/>
        </w:rPr>
        <w:lastRenderedPageBreak/>
        <w:t xml:space="preserve">рiвень iнфляцiї по всiх макроекономiчних показниках, в той же час збiльшення тарифiв на мiськi перевезення пасажирiв вiдбувається з великою затримкою та не покриває динамiку зростання витрат.. Для оновлення рухомого складу та проведення капiтального ремонту наявних транспортних засобiв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Внаслiдок компенсування втрат вiд перевезень пiльгових категорiй неселення по м.Ужгород мiсцевими органами самоврядування, пiдприємство змогло провести капiтальний ремонт кузовiв кiлькох автобусiв та пiдтримувати наявнi автобуси в робочому станi . В той же час iснує крайня необхiднiсть для придбання автобусiв середньої та великої мiсткостi для здiйснення мiських перевезень пасажирiв, проте при таких фiнансово-економiчних умовах господарювання, якi були у  звiтньому роцi  роцi, пiдприємство не в змозi виконати це завдання.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Iнвестицiйна полiтика пiдприємства теж в значнiй мiрi буде залежати вiд рiвня вiдшкодування втрат вiд перевезень пiльгових категорiй населення та вiд пiдвищення тарифiв на мiськi перевезення.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 зумовлює великi витрати на ремонт та пiдтримання транспорту в робочому станi.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плиннiсть кадрiв та нестача водiїв.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31.12.2020р. облiкова кiлькiсть працiвникiв становила 200чол.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2020р. становив 10768,0 тис.грн.   проти 12622 тис.грн. за 2019р.;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31.12.2021р. облiкова чисельнiсть працiвникiв становила 165чол.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2021р. становив 10568,0 тис.грн. проти 10768 тис.грн. за 2020р.;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31.12.2022р. облiкова чисельнiсть працiвникiв становила 154 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2022р. 8499.0 тис.грн. проти 10568 тис.грн. за 2021р.;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31.12.2023р. облiкова чисельнiсть працiвникiв становила 144 чол. Фонд оплати працi в 2023р. становив 10359.0 тис.грн. проти 8499.0 тис.грн. за 2022р.;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31.12.2024р. облiкова чисельнiсть працiвникiв становила 120 чол. Фонд оплати працi в 2024р. становив 12636.0 тис.грн. проти 10359.0 тис.грн. за 2023р.;</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Вартiсть чистих активiв вiдповiдає вимогам чинного законодавства.Iнша iстотна iнформацiя для iнвесторiв вiдсутня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B77028"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B77028"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B77028"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B77028" w:rsidTr="00016A2D">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B77028" w:rsidTr="00016A2D">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19 787</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17 683</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23 135</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20 021</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3 031</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3 220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3 031</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3 220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928</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256</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4 276</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2 594</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14 094</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14 094</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19 787</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17 683</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0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2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23 135</w:t>
            </w:r>
          </w:p>
        </w:tc>
        <w:tc>
          <w:tcPr>
            <w:tcW w:w="1082"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20 021</w:t>
            </w:r>
          </w:p>
        </w:tc>
      </w:tr>
      <w:tr w:rsidR="00B77028"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 2024 роцi було продано 1 земельну дiлянку площею 1,1016га, вартiстю 1662,5тис.грн. (згiдно незалежної експертної оцiнки вартостi земельної дiлянки  та погодження наглядової ради Товариства). Також було проведено благоустрiй на авто речовому ринку - капiтальний ремонт проїздiв та проходiв вартiстю 626,8тис.грн.</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r>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145</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147</w:t>
            </w:r>
          </w:p>
        </w:tc>
      </w:tr>
      <w:tr w:rsidR="00B77028"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Співвідношення (у відсотках) вартості </w:t>
            </w:r>
            <w:r>
              <w:rPr>
                <w:rFonts w:ascii="Times New Roman CYR" w:hAnsi="Times New Roman CYR" w:cs="Times New Roman CYR"/>
              </w:rPr>
              <w:lastRenderedPageBreak/>
              <w:t>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98</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B77028" w:rsidTr="00016A2D">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Висновок</w:t>
            </w:r>
          </w:p>
        </w:tc>
        <w:tc>
          <w:tcPr>
            <w:tcW w:w="8740" w:type="dxa"/>
            <w:gridSpan w:val="3"/>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B77028"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B77028"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44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48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4 002</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B77028"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4 622</w:t>
            </w:r>
          </w:p>
        </w:tc>
        <w:tc>
          <w:tcPr>
            <w:tcW w:w="194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76018, Iвано-Франкiвська обл., д/н р-н, м.Iвано-Франкiвськ, площа Мiцкевича, </w:t>
            </w:r>
            <w:r>
              <w:rPr>
                <w:rFonts w:ascii="Times New Roman CYR" w:hAnsi="Times New Roman CYR" w:cs="Times New Roman CYR"/>
              </w:rPr>
              <w:lastRenderedPageBreak/>
              <w:t>буд.6,офiс 5</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Надання iнфраструктури для розмiщення (хостингу), оброблення даних i пов'язану iз цим дiяльнiсть</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63,11 - Оброблення даних, розмiщення iнформацiї на веб-вузлах i пов'язана з </w:t>
            </w:r>
            <w:r>
              <w:rPr>
                <w:rFonts w:ascii="Times New Roman CYR" w:hAnsi="Times New Roman CYR" w:cs="Times New Roman CYR"/>
              </w:rPr>
              <w:lastRenderedPageBreak/>
              <w:t>ними дiяльнiсть</w:t>
            </w: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B77028"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Вид послуг, які надає особа</w:t>
            </w:r>
          </w:p>
        </w:tc>
        <w:tc>
          <w:tcPr>
            <w:tcW w:w="4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sectPr w:rsidR="00B77028">
          <w:pgSz w:w="12240" w:h="15840"/>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B77028" w:rsidTr="00016A2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B77028" w:rsidTr="00016A2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B77028"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 акцiї</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B77028"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B77028"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B77028"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B77028" w:rsidTr="00016A2D">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B77028"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B77028"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B77028"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8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Загальна кiлькiсть акцiонерiв, якi мають голосуючi акцiїї, становить  3 (три)  особи, яким належить  51 853 508   штук  простих iменних акцiй.</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sectPr w:rsidR="00B77028">
          <w:pgSz w:w="16837" w:h="11905"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B77028"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B77028"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B77028"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16826</w:t>
            </w:r>
          </w:p>
        </w:tc>
        <w:tc>
          <w:tcPr>
            <w:tcW w:w="29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w:t>
            </w:r>
          </w:p>
        </w:tc>
      </w:tr>
      <w:tr w:rsidR="00B77028"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49,39 - Iнший пасажирський наземний транспорт</w:t>
            </w:r>
          </w:p>
        </w:tc>
        <w:tc>
          <w:tcPr>
            <w:tcW w:w="29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16826</w:t>
            </w:r>
          </w:p>
        </w:tc>
        <w:tc>
          <w:tcPr>
            <w:tcW w:w="29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w:t>
            </w:r>
          </w:p>
        </w:tc>
      </w:tr>
      <w:tr w:rsidR="00B77028"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68,20 - - надання в оренду й експлуатацiю власного чи орендованого нерухомого майна</w:t>
            </w:r>
          </w:p>
        </w:tc>
        <w:tc>
          <w:tcPr>
            <w:tcW w:w="29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12100</w:t>
            </w:r>
          </w:p>
        </w:tc>
        <w:tc>
          <w:tcPr>
            <w:tcW w:w="29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У своїй дiяльностi  Наглядова рада  Товариства керується чинним законодавством, Статутом, рiшеннями загальних зборiв акцiонерiв , положенням про НР та iншими внутрiшнiми положеннями Товариства. 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придбання для цiєї мети нових автобусiв та залучення наявного автотранспорту iнших перевiзникiв через оперативну оренду; проводити роботу по збiльшенню рентабельностi закордонних перевезень.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має велику зношенiсть рухомого складу та потребує його оновлення. Проте для придбання нових автобусiв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В перiод кризової ситуацiї в країнi, товариство </w:t>
      </w:r>
      <w:r>
        <w:rPr>
          <w:rFonts w:ascii="Times New Roman CYR" w:hAnsi="Times New Roman CYR" w:cs="Times New Roman CYR"/>
          <w:sz w:val="24"/>
          <w:szCs w:val="24"/>
        </w:rPr>
        <w:lastRenderedPageBreak/>
        <w:t xml:space="preserve">повинно забезпечити своєчасну виплату заробiтної плати працiвникам пiдприємства.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землекористування пiд розширення пiдприємства було створено авторечовий ринок, який на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являється значним фактором для зменшення прибутковостi вiд перевезень. Товариство має</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Відповідність практики (Так/Ні)</w:t>
            </w:r>
          </w:p>
        </w:tc>
        <w:tc>
          <w:tcPr>
            <w:tcW w:w="450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Опис наявної практики/обґрунтування відхилення</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Цілі особи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w:t>
            </w:r>
            <w:r>
              <w:rPr>
                <w:rFonts w:ascii="Times New Roman CYR" w:hAnsi="Times New Roman CYR" w:cs="Times New Roman CYR"/>
                <w:sz w:val="24"/>
                <w:szCs w:val="24"/>
              </w:rPr>
              <w:lastRenderedPageBreak/>
              <w:t>виключно Законом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Біографічні дані про кандидатів до 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Вказанi данi розкриваються на запит 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поглинання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розкриває звіт щодо аспектів </w:t>
            </w:r>
            <w:r>
              <w:rPr>
                <w:rFonts w:ascii="Times New Roman CYR" w:hAnsi="Times New Roman CYR" w:cs="Times New Roman CYR"/>
                <w:sz w:val="24"/>
                <w:szCs w:val="24"/>
              </w:rPr>
              <w:lastRenderedPageBreak/>
              <w:t>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Обов'язковiсть не передбачена чинним </w:t>
            </w:r>
            <w:r>
              <w:rPr>
                <w:rFonts w:ascii="Times New Roman CYR" w:hAnsi="Times New Roman CYR" w:cs="Times New Roman CYR"/>
                <w:sz w:val="24"/>
                <w:szCs w:val="24"/>
              </w:rPr>
              <w:lastRenderedPageBreak/>
              <w:t>законодавством.</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Наглядова рада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Кiлькiсть членiв наглядової ради емiтента, присутнiх на її засiданнi, зазначається в протоколi наглядової ради. Комiтети наглядовою радою емiтента не створювалися.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Відбір та призначення членів наглядової ради відбувається на </w:t>
            </w:r>
            <w:r>
              <w:rPr>
                <w:rFonts w:ascii="Times New Roman CYR" w:hAnsi="Times New Roman CYR" w:cs="Times New Roman CYR"/>
                <w:sz w:val="24"/>
                <w:szCs w:val="24"/>
              </w:rPr>
              <w:lastRenderedPageBreak/>
              <w:t>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Зазначенi вимоги Статутом Товариства та/або внутрiшнiми положеннями не </w:t>
            </w:r>
            <w:r>
              <w:rPr>
                <w:rFonts w:ascii="Times New Roman CYR" w:hAnsi="Times New Roman CYR" w:cs="Times New Roman CYR"/>
                <w:sz w:val="24"/>
                <w:szCs w:val="24"/>
              </w:rPr>
              <w:lastRenderedPageBreak/>
              <w:t>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Процедура відбору передбачає 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розробляє план навчання, який визначає, з яких питань необхідно пройти додаткове </w:t>
            </w:r>
            <w:r>
              <w:rPr>
                <w:rFonts w:ascii="Times New Roman CYR" w:hAnsi="Times New Roman CYR" w:cs="Times New Roman CYR"/>
                <w:sz w:val="24"/>
                <w:szCs w:val="24"/>
              </w:rPr>
              <w:lastRenderedPageBreak/>
              <w:t>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комітети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визначає ключові показники ефективності </w:t>
            </w:r>
            <w:r>
              <w:rPr>
                <w:rFonts w:ascii="Times New Roman CYR" w:hAnsi="Times New Roman CYR" w:cs="Times New Roman CYR"/>
                <w:sz w:val="24"/>
                <w:szCs w:val="24"/>
              </w:rPr>
              <w:lastRenderedPageBreak/>
              <w:t>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Визначення ключових показникiв ефективностi не здiйснюється, оскiльки </w:t>
            </w:r>
            <w:r>
              <w:rPr>
                <w:rFonts w:ascii="Times New Roman CYR" w:hAnsi="Times New Roman CYR" w:cs="Times New Roman CYR"/>
                <w:sz w:val="24"/>
                <w:szCs w:val="24"/>
              </w:rPr>
              <w:lastRenderedPageBreak/>
              <w:t>це не є необхiдним.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Винагорода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Адреса вебсайту особи містить окремий розділ, присвячений </w:t>
            </w:r>
            <w:r>
              <w:rPr>
                <w:rFonts w:ascii="Times New Roman CYR" w:hAnsi="Times New Roman CYR" w:cs="Times New Roman CYR"/>
                <w:sz w:val="24"/>
                <w:szCs w:val="24"/>
              </w:rPr>
              <w:lastRenderedPageBreak/>
              <w:t>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Окремий роздiл не створено, який присвячено виключно питанням </w:t>
            </w:r>
            <w:r>
              <w:rPr>
                <w:rFonts w:ascii="Times New Roman CYR" w:hAnsi="Times New Roman CYR" w:cs="Times New Roman CYR"/>
                <w:sz w:val="24"/>
                <w:szCs w:val="24"/>
              </w:rPr>
              <w:lastRenderedPageBreak/>
              <w:t>корпоративного управлiння.</w:t>
            </w: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8. Система контролю і стандарти етики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 інсайдерської торгівлі; та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9. Оцінка корпоративного управління</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розробка плану дiй для пiдвищення ефективностi роботи Наглядової ради, оскiльки це не є необхiдним.</w:t>
            </w:r>
          </w:p>
        </w:tc>
      </w:tr>
      <w:tr w:rsidR="00B77028"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B77028" w:rsidTr="00016A2D">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B77028" w:rsidTr="00016A2D">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Вiйськовi  дiї суттєво впливало на економiчну ситуацiю в країнi, а наслiдки неможливо оцiнити з достатнiм рiвнем передбачуваностi, як для країни, так i для Товариства.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w:t>
      </w:r>
      <w:r>
        <w:rPr>
          <w:rFonts w:ascii="Times New Roman CYR" w:hAnsi="Times New Roman CYR" w:cs="Times New Roman CYR"/>
          <w:sz w:val="24"/>
          <w:szCs w:val="24"/>
        </w:rPr>
        <w:lastRenderedPageBreak/>
        <w:t xml:space="preserve">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i приймаються бiльшiстю голосiв членiв Наглядової ради.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директора Товариства.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звiтньому роцi дiяльнiсть товариства здiйснювалася в умовах тривалого воєнного стану та збереження суттєвих обмежень у господарськiй дiяльностi.  Рiшення, прийнятi протягом року, мали переважно оперативний i стабiлiзацiйний характер. </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iснуючих умовах господарювання в умовах воєнного стану, у зв'язку з вiйськовою агресiєю росiйської </w:t>
      </w:r>
      <w:r>
        <w:rPr>
          <w:rFonts w:ascii="Times New Roman CYR" w:hAnsi="Times New Roman CYR" w:cs="Times New Roman CYR"/>
          <w:sz w:val="24"/>
          <w:szCs w:val="24"/>
        </w:rPr>
        <w:lastRenderedPageBreak/>
        <w:t>федерацiї проти України, неможливо впевнено робити навiть короткостроковi прогнози чи детальнi плани щодо дiяльностi пiдприємства.</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вiдсутня.</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Наявність затвердженої декларації схильності до </w:t>
            </w:r>
            <w:r>
              <w:rPr>
                <w:rFonts w:ascii="Times New Roman CYR" w:hAnsi="Times New Roman CYR" w:cs="Times New Roman CYR"/>
                <w:sz w:val="24"/>
                <w:szCs w:val="24"/>
              </w:rPr>
              <w:lastRenderedPageBreak/>
              <w:t>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Назва органу, який прийняв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B77028"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18486750</w:t>
            </w:r>
          </w:p>
        </w:tc>
        <w:tc>
          <w:tcPr>
            <w:tcW w:w="17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18486750</w:t>
            </w:r>
          </w:p>
        </w:tc>
      </w:tr>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Андрiїв Тетяна Андрiївна</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r>
      <w:tr w:rsidR="00B77028"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Мiкловцик Крiстна Юлiївна</w:t>
            </w: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6</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 Товариства, який володiє контрольним пакетом акцiй для прийняття рiшення на загальних зборах акцiонерiв.</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B77028"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sectPr w:rsidR="00B77028">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B77028" w:rsidTr="00016A2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B77028" w:rsidTr="00016A2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01.01.2025</w:t>
            </w:r>
          </w:p>
        </w:tc>
      </w:tr>
      <w:tr w:rsidR="00B77028" w:rsidTr="00016A2D">
        <w:tblPrEx>
          <w:tblCellMar>
            <w:top w:w="0" w:type="dxa"/>
            <w:bottom w:w="0" w:type="dxa"/>
          </w:tblCellMar>
        </w:tblPrEx>
        <w:trPr>
          <w:trHeight w:val="298"/>
        </w:trPr>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B77028" w:rsidTr="00016A2D">
        <w:tblPrEx>
          <w:tblCellMar>
            <w:top w:w="0" w:type="dxa"/>
            <w:bottom w:w="0" w:type="dxa"/>
          </w:tblCellMar>
        </w:tblPrEx>
        <w:trPr>
          <w:trHeight w:val="298"/>
        </w:trPr>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B77028" w:rsidTr="00016A2D">
        <w:tblPrEx>
          <w:tblCellMar>
            <w:top w:w="0" w:type="dxa"/>
            <w:bottom w:w="0" w:type="dxa"/>
          </w:tblCellMar>
        </w:tblPrEx>
        <w:trPr>
          <w:trHeight w:val="298"/>
        </w:trPr>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B77028" w:rsidTr="00016A2D">
        <w:tblPrEx>
          <w:tblCellMar>
            <w:top w:w="0" w:type="dxa"/>
            <w:bottom w:w="0" w:type="dxa"/>
          </w:tblCellMar>
        </w:tblPrEx>
        <w:trPr>
          <w:trHeight w:val="298"/>
        </w:trPr>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137</w:t>
      </w: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вул.Радiщева,2, 0505551165</w:t>
      </w: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B77028" w:rsidTr="00016A2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B77028" w:rsidTr="00016A2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31.12.2024 p.</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B77028" w:rsidTr="00016A2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B77028" w:rsidTr="00016A2D">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( 66 )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18 368</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16 452</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34 849</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33 861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( 16 481 )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( 17 409 )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1 419</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1 231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( 3 857 )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( 4 045 )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19 844</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17 739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1 431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1 641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132</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2 274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2 216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3 437</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5 249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23 281</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22 988</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B77028" w:rsidTr="00016A2D">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-8 391</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-7 513</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1 900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1 568</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419</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195</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208</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663</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728</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1 070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1 229</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243</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4 576</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4 622</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23 281</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22 988</w:t>
            </w:r>
          </w:p>
        </w:tc>
      </w:tr>
    </w:tbl>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Активи товариства зменшились на 1.5 вiдсоткiв</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B77028" w:rsidTr="00016A2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B77028" w:rsidTr="00016A2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01.01.2025</w:t>
            </w:r>
          </w:p>
        </w:tc>
      </w:tr>
      <w:tr w:rsidR="00B77028" w:rsidTr="00016A2D">
        <w:tblPrEx>
          <w:tblCellMar>
            <w:top w:w="0" w:type="dxa"/>
            <w:bottom w:w="0" w:type="dxa"/>
          </w:tblCellMar>
        </w:tblPrEx>
        <w:trPr>
          <w:trHeight w:val="298"/>
        </w:trPr>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2024 рік</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B77028" w:rsidTr="00016A2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B77028" w:rsidTr="00016A2D">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45 752</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46 939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( 45 570 )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( 44 670 )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2 269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10 296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7 850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( 5 273 )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( 4 477 )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( 5 557 )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( 5 941 )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( 352 )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1 218</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866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r>
    </w:tbl>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B77028"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r>
    </w:tbl>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B77028"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32 386</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33 879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12 636</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10 359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3 103</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2 726</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1 391</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1 539</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6 856</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6 528</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56 372</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55 031</w:t>
            </w:r>
          </w:p>
        </w:tc>
      </w:tr>
    </w:tbl>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B77028"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0,200000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0,200000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прибуток складає 878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B77028" w:rsidTr="00016A2D">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B77028" w:rsidTr="00016A2D">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01.01.2025</w:t>
            </w:r>
          </w:p>
        </w:tc>
      </w:tr>
      <w:tr w:rsidR="00B77028" w:rsidTr="00016A2D">
        <w:tblPrEx>
          <w:tblCellMar>
            <w:top w:w="0" w:type="dxa"/>
            <w:bottom w:w="0" w:type="dxa"/>
          </w:tblCellMar>
        </w:tblPrEx>
        <w:tc>
          <w:tcPr>
            <w:tcW w:w="216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2024 рік</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B77028" w:rsidTr="00016A2D">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p>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46 361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44 777</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9 727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7 234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9 727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7 234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2 591</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2 450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236</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( 39 236 )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( 37 758 )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( 10 065 )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( 8 276 )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( 3 091 )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( 2 848 )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( 4 479 )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( 4 018 )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( 794 )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( 415 )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( 3 685 )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( 3 603 )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( 232 )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( 122 )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( 1 016 )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( 627 )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822</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1 050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1 663</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( 935 )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( 55 )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728</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( 510 )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-510</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1 550</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495</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r>
      <w:tr w:rsidR="00B77028"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2 274</w:t>
            </w:r>
          </w:p>
        </w:tc>
        <w:tc>
          <w:tcPr>
            <w:tcW w:w="1645"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r>
    </w:tbl>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На кiнець року залишок коштiв 2274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B77028" w:rsidTr="00016A2D">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B77028" w:rsidTr="00016A2D">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01.01.2025</w:t>
            </w:r>
          </w:p>
        </w:tc>
      </w:tr>
      <w:tr w:rsidR="00B77028" w:rsidTr="00016A2D">
        <w:tblPrEx>
          <w:tblCellMar>
            <w:top w:w="0" w:type="dxa"/>
            <w:bottom w:w="0" w:type="dxa"/>
          </w:tblCellMar>
        </w:tblPrEx>
        <w:tc>
          <w:tcPr>
            <w:tcW w:w="2240" w:type="dxa"/>
            <w:tcBorders>
              <w:top w:val="nil"/>
              <w:left w:val="nil"/>
              <w:bottom w:val="nil"/>
              <w:right w:val="nil"/>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B77028" w:rsidRDefault="00B77028" w:rsidP="00B77028">
      <w:pPr>
        <w:widowControl w:val="0"/>
        <w:autoSpaceDE w:val="0"/>
        <w:autoSpaceDN w:val="0"/>
        <w:adjustRightInd w:val="0"/>
        <w:spacing w:after="0" w:line="240" w:lineRule="auto"/>
        <w:rPr>
          <w:rFonts w:ascii="Times New Roman CYR" w:hAnsi="Times New Roman CYR" w:cs="Times New Roman CYR"/>
          <w:sz w:val="24"/>
          <w:szCs w:val="24"/>
        </w:rPr>
      </w:pP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2024 рік</w:t>
      </w:r>
    </w:p>
    <w:p w:rsidR="00B77028" w:rsidRDefault="00B77028" w:rsidP="00B77028">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B77028" w:rsidTr="00016A2D">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B77028" w:rsidRDefault="00B77028"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B77028" w:rsidTr="00016A2D">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-8 391</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-8 391</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-1 217</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-1 217</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w:t>
            </w:r>
          </w:p>
        </w:tc>
      </w:tr>
      <w:tr w:rsidR="00B77028"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B77028" w:rsidRDefault="00B77028"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-7 513</w:t>
            </w:r>
          </w:p>
        </w:tc>
        <w:tc>
          <w:tcPr>
            <w:tcW w:w="15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B77028" w:rsidRDefault="00B77028"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r>
    </w:tbl>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Непокритий збиток складає -7513.00 тис.грн.</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6838" w:h="11906"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6838" w:h="11906"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jc w:val="both"/>
        <w:rPr>
          <w:rFonts w:ascii="Times New Roman CYR" w:hAnsi="Times New Roman CYR" w:cs="Times New Roman CYR"/>
        </w:rPr>
        <w:sectPr w:rsidR="00B77028">
          <w:pgSz w:w="16838" w:h="11906" w:orient="landscape"/>
          <w:pgMar w:top="570" w:right="720" w:bottom="570" w:left="720" w:header="708" w:footer="708" w:gutter="0"/>
          <w:cols w:space="720"/>
          <w:noEndnote/>
        </w:sect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B77028" w:rsidRDefault="00B77028" w:rsidP="00B77028">
      <w:pPr>
        <w:widowControl w:val="0"/>
        <w:autoSpaceDE w:val="0"/>
        <w:autoSpaceDN w:val="0"/>
        <w:adjustRightInd w:val="0"/>
        <w:spacing w:after="0" w:line="240" w:lineRule="auto"/>
        <w:rPr>
          <w:rFonts w:ascii="Times New Roman CYR" w:hAnsi="Times New Roman CYR" w:cs="Times New Roman CYR"/>
        </w:rPr>
      </w:pPr>
    </w:p>
    <w:p w:rsidR="00A34E24" w:rsidRPr="00B77028" w:rsidRDefault="00A34E24" w:rsidP="00B77028"/>
    <w:sectPr w:rsidR="00A34E24" w:rsidRPr="00B77028">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9115B"/>
    <w:rsid w:val="00063995"/>
    <w:rsid w:val="00201A17"/>
    <w:rsid w:val="002643E2"/>
    <w:rsid w:val="0029115B"/>
    <w:rsid w:val="00387F9F"/>
    <w:rsid w:val="003A5BC8"/>
    <w:rsid w:val="00423D3E"/>
    <w:rsid w:val="00500927"/>
    <w:rsid w:val="006F3107"/>
    <w:rsid w:val="00796371"/>
    <w:rsid w:val="008612B8"/>
    <w:rsid w:val="00995047"/>
    <w:rsid w:val="00A34E24"/>
    <w:rsid w:val="00B77028"/>
    <w:rsid w:val="00DC3F90"/>
    <w:rsid w:val="00DC5038"/>
    <w:rsid w:val="00DE38B1"/>
    <w:rsid w:val="00EE45B3"/>
    <w:rsid w:val="00F64713"/>
    <w:rsid w:val="00FB122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15B"/>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50</Pages>
  <Words>67077</Words>
  <Characters>38235</Characters>
  <Application>Microsoft Office Word</Application>
  <DocSecurity>0</DocSecurity>
  <Lines>318</Lines>
  <Paragraphs>210</Paragraphs>
  <ScaleCrop>false</ScaleCrop>
  <Company/>
  <LinksUpToDate>false</LinksUpToDate>
  <CharactersWithSpaces>105102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2026-05-07T11:42:00Z</dcterms:created>
  <dcterms:modified xsi:type="dcterms:W3CDTF">2026-05-24T13:08:00Z</dcterms:modified>
</cp:coreProperties>
</file>