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t>Титульний аркуш</w:t>
      </w: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230"/>
      </w:tblGrid>
      <w:tr w:rsidR="00FA2051" w:rsidTr="00986E16">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22.05.2026</w:t>
            </w:r>
          </w:p>
        </w:tc>
      </w:tr>
      <w:tr w:rsidR="00FA2051" w:rsidTr="00986E16">
        <w:tblPrEx>
          <w:tblBorders>
            <w:bottom w:val="none" w:sz="0" w:space="0" w:color="auto"/>
          </w:tblBorders>
          <w:tblCellMar>
            <w:top w:w="0" w:type="dxa"/>
            <w:bottom w:w="0" w:type="dxa"/>
          </w:tblCellMar>
        </w:tblPrEx>
        <w:trPr>
          <w:trHeight w:val="300"/>
        </w:trPr>
        <w:tc>
          <w:tcPr>
            <w:tcW w:w="5230" w:type="dxa"/>
            <w:tcBorders>
              <w:top w:val="nil"/>
              <w:left w:val="nil"/>
              <w:bottom w:val="nil"/>
              <w:right w:val="nil"/>
            </w:tcBorders>
            <w:vAlign w:val="bottom"/>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реєстрації особою електронного документа)</w:t>
            </w:r>
          </w:p>
        </w:tc>
      </w:tr>
      <w:tr w:rsidR="00FA2051" w:rsidTr="00986E16">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r>
      <w:tr w:rsidR="00FA2051" w:rsidTr="00986E16">
        <w:tblPrEx>
          <w:tblCellMar>
            <w:top w:w="0" w:type="dxa"/>
            <w:bottom w:w="0" w:type="dxa"/>
          </w:tblCellMar>
        </w:tblPrEx>
        <w:trPr>
          <w:trHeight w:val="300"/>
        </w:trPr>
        <w:tc>
          <w:tcPr>
            <w:tcW w:w="5230" w:type="dxa"/>
            <w:tcBorders>
              <w:top w:val="nil"/>
              <w:left w:val="nil"/>
              <w:bottom w:val="nil"/>
              <w:right w:val="nil"/>
            </w:tcBorders>
            <w:vAlign w:val="bottom"/>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(вихідний реєстраційний номер електронного документа)</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0465"/>
      </w:tblGrid>
      <w:tr w:rsidR="00FA2051" w:rsidTr="00986E16">
        <w:tblPrEx>
          <w:tblCellMar>
            <w:top w:w="0" w:type="dxa"/>
            <w:bottom w:w="0" w:type="dxa"/>
          </w:tblCellMar>
        </w:tblPrEx>
        <w:trPr>
          <w:trHeight w:val="300"/>
        </w:trPr>
        <w:tc>
          <w:tcPr>
            <w:tcW w:w="10465" w:type="dxa"/>
            <w:tcBorders>
              <w:top w:val="nil"/>
              <w:left w:val="nil"/>
              <w:bottom w:val="nil"/>
              <w:right w:val="nil"/>
            </w:tcBorders>
            <w:vAlign w:val="bottom"/>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 Положення).</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236"/>
        <w:gridCol w:w="3334"/>
        <w:gridCol w:w="236"/>
        <w:gridCol w:w="3284"/>
      </w:tblGrid>
      <w:tr w:rsidR="00FA2051" w:rsidTr="00986E16">
        <w:tblPrEx>
          <w:tblCellMar>
            <w:top w:w="0" w:type="dxa"/>
            <w:bottom w:w="0" w:type="dxa"/>
          </w:tblCellMar>
        </w:tblPrEx>
        <w:trPr>
          <w:trHeight w:val="200"/>
        </w:trPr>
        <w:tc>
          <w:tcPr>
            <w:tcW w:w="3415" w:type="dxa"/>
            <w:tcBorders>
              <w:top w:val="nil"/>
              <w:left w:val="nil"/>
              <w:bottom w:val="single" w:sz="6" w:space="0" w:color="auto"/>
              <w:right w:val="nil"/>
            </w:tcBorders>
            <w:vAlign w:val="bottom"/>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Директор</w:t>
            </w:r>
          </w:p>
        </w:tc>
        <w:tc>
          <w:tcPr>
            <w:tcW w:w="216" w:type="dxa"/>
            <w:tcBorders>
              <w:top w:val="nil"/>
              <w:left w:val="nil"/>
              <w:bottom w:val="nil"/>
              <w:right w:val="nil"/>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334" w:type="dxa"/>
            <w:tcBorders>
              <w:top w:val="nil"/>
              <w:left w:val="nil"/>
              <w:bottom w:val="single" w:sz="6" w:space="0" w:color="auto"/>
              <w:right w:val="nil"/>
            </w:tcBorders>
            <w:vAlign w:val="bottom"/>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16" w:type="dxa"/>
            <w:tcBorders>
              <w:top w:val="nil"/>
              <w:left w:val="nil"/>
              <w:bottom w:val="nil"/>
              <w:right w:val="nil"/>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284" w:type="dxa"/>
            <w:tcBorders>
              <w:top w:val="nil"/>
              <w:left w:val="nil"/>
              <w:bottom w:val="single" w:sz="6" w:space="0" w:color="auto"/>
              <w:right w:val="nil"/>
            </w:tcBorders>
            <w:vAlign w:val="bottom"/>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Козун Володимир Iванович</w:t>
            </w:r>
          </w:p>
        </w:tc>
      </w:tr>
      <w:tr w:rsidR="00FA2051" w:rsidTr="00986E16">
        <w:tblPrEx>
          <w:tblCellMar>
            <w:top w:w="0" w:type="dxa"/>
            <w:bottom w:w="0" w:type="dxa"/>
          </w:tblCellMar>
        </w:tblPrEx>
        <w:trPr>
          <w:trHeight w:val="200"/>
        </w:trPr>
        <w:tc>
          <w:tcPr>
            <w:tcW w:w="3415" w:type="dxa"/>
            <w:tcBorders>
              <w:top w:val="nil"/>
              <w:left w:val="nil"/>
              <w:bottom w:val="nil"/>
              <w:right w:val="nil"/>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6" w:type="dxa"/>
            <w:tcBorders>
              <w:top w:val="nil"/>
              <w:left w:val="nil"/>
              <w:bottom w:val="nil"/>
              <w:right w:val="nil"/>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334" w:type="dxa"/>
            <w:tcBorders>
              <w:top w:val="nil"/>
              <w:left w:val="nil"/>
              <w:bottom w:val="nil"/>
              <w:right w:val="nil"/>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(місце для накладання електронного підпису уповноваженої особи емітента/особи,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284" w:type="dxa"/>
            <w:tcBorders>
              <w:top w:val="nil"/>
              <w:left w:val="nil"/>
              <w:bottom w:val="nil"/>
              <w:right w:val="nil"/>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(прізвище та ініціали керівника або уповноваженої особи)</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sz w:val="20"/>
          <w:szCs w:val="20"/>
        </w:rPr>
      </w:pP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Річний звіт</w:t>
      </w: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Акцiонерне товариство "Ужгородське автотранспортне пiдприємтсво 12107" (03114017)</w:t>
      </w: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за 2022 рік</w:t>
      </w: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Рішення про затвердження річного звіту: Рішення загальних зборів акціонерів від 28.08.2025, за 2022 рiк</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Особа, яка здійснює діяльність з оприлюднення регульованої інформації: </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здійснює подання звітності та/або звітних даних до Національної комісії з цінних паперів та фондового ринку: Державна установа "Агентство з розвитку iнфраструктури фондового ринку України", 21676262, Україна, DR/00002/ARM</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Дані про дату та місце оприлюднення річної інформації: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5165"/>
        <w:gridCol w:w="1885"/>
      </w:tblGrid>
      <w:tr w:rsidR="00FA2051" w:rsidTr="00986E16">
        <w:tblPrEx>
          <w:tblCellMar>
            <w:top w:w="0" w:type="dxa"/>
            <w:bottom w:w="0" w:type="dxa"/>
          </w:tblCellMar>
        </w:tblPrEx>
        <w:trPr>
          <w:trHeight w:val="300"/>
        </w:trPr>
        <w:tc>
          <w:tcPr>
            <w:tcW w:w="3415" w:type="dxa"/>
            <w:vMerge w:val="restart"/>
            <w:tcBorders>
              <w:top w:val="nil"/>
              <w:left w:val="nil"/>
              <w:bottom w:val="nil"/>
              <w:right w:val="nil"/>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Річну інформацію розміщено на власному вебсайті емітента</w:t>
            </w:r>
          </w:p>
        </w:tc>
        <w:tc>
          <w:tcPr>
            <w:tcW w:w="5165" w:type="dxa"/>
            <w:tcBorders>
              <w:top w:val="nil"/>
              <w:left w:val="nil"/>
              <w:bottom w:val="single" w:sz="6" w:space="0" w:color="auto"/>
              <w:right w:val="nil"/>
            </w:tcBorders>
            <w:vAlign w:val="bottom"/>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http://atp-12107.emitents.net.ua/ua/docs/?fg_id=100</w:t>
            </w:r>
          </w:p>
        </w:tc>
        <w:tc>
          <w:tcPr>
            <w:tcW w:w="1885" w:type="dxa"/>
            <w:tcBorders>
              <w:top w:val="nil"/>
              <w:left w:val="nil"/>
              <w:bottom w:val="single" w:sz="6" w:space="0" w:color="auto"/>
              <w:right w:val="nil"/>
            </w:tcBorders>
            <w:vAlign w:val="bottom"/>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24.05.2026</w:t>
            </w:r>
          </w:p>
        </w:tc>
      </w:tr>
      <w:tr w:rsidR="00FA2051" w:rsidTr="00986E16">
        <w:tblPrEx>
          <w:tblCellMar>
            <w:top w:w="0" w:type="dxa"/>
            <w:bottom w:w="0" w:type="dxa"/>
          </w:tblCellMar>
        </w:tblPrEx>
        <w:trPr>
          <w:trHeight w:val="300"/>
        </w:trPr>
        <w:tc>
          <w:tcPr>
            <w:tcW w:w="3415" w:type="dxa"/>
            <w:vMerge/>
            <w:tcBorders>
              <w:top w:val="nil"/>
              <w:left w:val="nil"/>
              <w:bottom w:val="nil"/>
              <w:right w:val="nil"/>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0"/>
                <w:szCs w:val="20"/>
              </w:rPr>
            </w:pPr>
          </w:p>
        </w:tc>
        <w:tc>
          <w:tcPr>
            <w:tcW w:w="5165" w:type="dxa"/>
            <w:tcBorders>
              <w:top w:val="nil"/>
              <w:left w:val="nil"/>
              <w:bottom w:val="nil"/>
              <w:right w:val="nil"/>
            </w:tcBorders>
            <w:vAlign w:val="bottom"/>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(URL-адреса вебсайту)</w:t>
            </w:r>
          </w:p>
        </w:tc>
        <w:tc>
          <w:tcPr>
            <w:tcW w:w="1885" w:type="dxa"/>
            <w:tcBorders>
              <w:top w:val="nil"/>
              <w:left w:val="nil"/>
              <w:bottom w:val="nil"/>
              <w:right w:val="nil"/>
            </w:tcBorders>
            <w:vAlign w:val="bottom"/>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sz w:val="20"/>
          <w:szCs w:val="20"/>
        </w:rPr>
        <w:sectPr w:rsidR="00FA2051">
          <w:pgSz w:w="12240" w:h="15840"/>
          <w:pgMar w:top="570" w:right="720" w:bottom="570" w:left="720" w:header="708" w:footer="708" w:gutter="0"/>
          <w:cols w:space="720"/>
          <w:noEndnote/>
        </w:sectPr>
      </w:pP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Пояснення щодо розкриття інформації</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Роздiл I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1.2." Iнформацiя щодо усiх випускiв цiнних паперiв, за якими надається забезпечення (якщо рiчний звiт подається особою, яка надає забезпечення (незалежно вiд того, чи є особа емiтентом)" не розкрита особою у складi рiчного звiту через те, що рiчний звiт подає емiтент.</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1.3 "Iнформацiя щодо всiх осiб, якi на дають забезпечення за його зобов'язаннями (якщо за зобов'язаннями емiтента надаються забезпечення)" не розкрита особою у складi рiчного звiту через те, що рiчний звiт подає емiтент.</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1.5. "Iнформацiя про рейтингове агентство" не розкрита особою у складi рiчного звiту через те, що за звiтний перiод емiтент не проводив рейтингову оцiнку свого кредитного рейтингу або його цiнних паперiв.</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1.6."Iнформацiя про судовi справи" не розкрита особою у складi рiчного звiту через те, що особа не мала судових справ , за якими розглядаються позовнi вимоги у розмiрi на суму 1 та бiльше вiдсоткiв активiв особи станом на початок звiтного року, стороною в яких виступає особа,  посадовi особи.</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1.7. Iнформацiя про "Штрафнi санкцiї щодо особи" не заповнюється тому, що протягом звiтного року вiдсутнi штрафнi санкцiї в розмiрi, який перевищує 1 000.00 грн.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2.3. "Iнформацiя про корпоративного секретаря" не заповнюється через вiдсутнiсть корпоративного секретаря у Товариствi.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2.5. Складова звiту "Органiзацiйна структура" - .Схематичне зображення органiзацiйної структури пiдприємства не розмiщується на вебсайтi, так як не вiдноситься до вiдкритої/публiчної iнформацiї.</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Структура власностi - розкриття структури власностi  вiдповiдно  Рiшення НКЦПФР №608 вiд 06.06.2024р. не передбачено:</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товариство, не  здiйснювало публiчну пропозицiю цiнних паперiв, та/або</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товариство, не є пiдприємством, що становить суспiльний iнтерес, та/або</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товариство не вiдноситься до  товариства у якого  100 вiдсоткiв акцiй прямо або опосередковано належить державi,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4.6. "Iнформацiя про обсяги виробництва та реалiзацiї основних видiв продукцiї" не заповнюється, оскiльки Товариство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4.7."Iнформацiя про собiвартiсть реалiзованої продукцiї" не заповнюється, оскiльки Товариство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5.Iнформацiя змiсту " Участь в iнших юридичних особах" не включена до складу рiчної iнформацiї, так як емiтент не бере участi в iнших юридичних особах.</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 Iнформацiя про вiдокремленi пiдроздiли не заповненюється, адже вiдокремленi пiдроздiли в Товариствi вiдсутнi.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II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2.Змiна прав на акцiї у звiтньому роцi не вiдбувалась.</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3.2.Iнформацiя "Про уточнення щодо наявностi обмежень на акцiї" , не заповнюється у звязку так як в емiтента немає обмежень по акцiям, крiм Згiдно з п. 10 роздiлу ХV Закону України "Про депозитарну систему України" тi акцiонери, якi не уклали з обраною емiтентом депозитарною установою договору про обслуговування рахунка в цiнних паперах вiд власного iменi або не здiйснили переказ належних йому прав на цiннi папери на свiй рахунок у цiнних паперах, вiдкритий в iншiй депозитарнiй установi, цiннi папери такого власника (якi дають право на участь в органах емiтента) не враховуються при визначеннi кворуму та при голосуваннi в органах емiтента та розкрито у п.3.12.</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3.3. Iнформацiя про облiгацiї емiтента не заповнюється у зв'язку з їх вiдсутнiстю.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3.4. Iнформацiя про iншi цiннi папери, випущенi емiтентом не заповнюється у зв'язку з їх вiдсутнiстю.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3.5. Iнформацiя про деривативнi цiннi папери не заповнюється у зв`яку з вiдсутнiстю їх випуску емiтентом.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3.6 Iнформацiя про забезпечення випуску боргових цiнних паперiв не заповнюється, оскiльки в емiтента вiдсутнi борговi цiннi папери i, вiдповiдно, їх забезпечення.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3.7 Звiт про стан об'єкта нерухомостi (у разi емiсiї цiльових корпоративних облiгацiй, виконання зобов'язань за якими здiйснюється шляхом об'єкта (частини об'єкта) житлового будiвництва) не заповнюється через вiдсутнiсть емiсiї емiтентом цiльових корпоративних облiгацiй.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3.8 Iнформацiя про придбання власних акцiй емiтентом протягом звiтного перiоду не заповнюється, оскiльки емiтент не здiйснював придбання власних акцiй протягом звiтного перiоду</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3.9 Iнформацiя про наявнiсть у власностi працiвникiв емiтента цiнних паперiв (крiм акцiй) такого емiтента не заповнюється тому, що емiтент не розмiщував iншi цiннi папери, крiм акцiй.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3.11 Iнформацiя про будь-якi обмеження щодо обiгу цiнних паперiв особи, в тому числi необхiднiсть отримання вiд особи або iнших власникiв цiнних паперiв згоди на вiдчуження таких цiнних паперiв, оскiльки в емiтента вiдсутнi обмеження щодо обiгу цiнних паперiв.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4.2.Iнформацiя змiсту " Вiдомостi про змiну акцiонерiв, яким належать голосуючi акцiї, розмiр пакета яких стає бiльшим, меншим або рiвним пороговому значеню пакета акцiй" не включена до складу рiчної iнформацiї, так як в емiтента в звiтному роцi не було змiни таких акцiонерiв.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4.3. Iнформацiю про змiну осiб, яким належить право голосу за акцiями, сумарна кiлькiсть прав за якими стає бiльшою, меншою або дорiвнює пороговому значенню пакета акцiй  не включена до складу рiчної iнформацiї, так як в емiтента в звiтному роцi не було змiни таких осiб</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4.4. Iнформацiю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 не заповнюється за вiдсутнiстю таких змiн.</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III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2.Товариство подає лише рiчну (регулярну) iнформацiю емiтента (фiнансова звiтнiсть є невiдємною частиною регулярної iнформацii емiтента)</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3.Iнформацiя змiсту " Аудиторський звiт до рiчної фiнансової звiтностi" не включена до складу рiчної iнформацiї, так як в звiтному роцi емiтент не проводив аудит рiчної фiнансової звiтностi, у зв'язку з вiдсутнiстю такого обов'язку.</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5.1.  Складова змiсту " Iнформацiя про прийняття рiшення про попереднє надання згоди на вчинення значних правочинiв" не включена до складу рiчної iнформацiї, так як в звiтному роцi емiтент не приймав такого рiшення.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5.2. Складова змiсту " Iнформацiя про вчинення значних правочинiв" не включена до складу рiчної iнформацiї, так як в звiтному роцi емiтент не вчиняв таких правочинiв.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5.3. Складова змiсту " Iнформацiя про вчинення правочинiв, щодо вчинення яких є заiнтерисованiсть" не включена до складу рiчної iнформацiї, так як в звiтному роцi емiтент не вчиняв таких правочинiв.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6. Звiт про платежнi на користь держави не заповнюється, оскiльки емiтент не належить до суб'єктiв господарювання, якi вiдповiдно до вимог до вимог Положення про розкриття iнформацiї емiтентами цiнних паперiв, а також особами, якi надають забезпечення за такими цiнними паперами, затвердженого Рiшенням Нацiональної комiсiї з цiнних паперiв та фондового ринку вiд 06 червня 2023 року №608, зобов'язанi подавати таку iнформацiю.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IV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1.1.1.1Складова змiсту " Iнформацiя про кодекс копоративного управлiння, яким керується особа" не включена до складу рiчної iнформацiї, так як у емiтента вiдсутнiй кодекс корпоративного управлiння.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1.1.1.5.Складова змiсту " Iнформацiя про практику корпоративного управлiння особи. Рада директорiв" не включена до складу рiчної iнформацiї, так як в емiтента вiдсутня рада директорiв.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1.1.2. "Iнформацiя про загальнi збори акцiонерiв (учасникiв) та загальний опис прийнятих на тих зборах </w:t>
      </w:r>
      <w:r>
        <w:rPr>
          <w:rFonts w:ascii="Times New Roman CYR" w:hAnsi="Times New Roman CYR" w:cs="Times New Roman CYR"/>
          <w:sz w:val="24"/>
          <w:szCs w:val="24"/>
        </w:rPr>
        <w:lastRenderedPageBreak/>
        <w:t>рiшень" не включенi до складу рiчної звiтностi, так як збори у звiтному роцi не скликалися, Складова змiсту "Iнформацiя про загальнi збори акцiонерiв (учасникiв) та загальний опис прийнятих на тих зборах рiшень не включенi до складу рiчної звiтностi, так як збори у звiтному роцi не скликалися, у зв'язку з вiйськовою агресiєю Росiйської Федерацiї проти України початку звiтного року та введенням воєнного стану в Українi вiдповiдно до Указу Президента України вiд 24 лютого 2022 року № 64/2022 "Про введення воєнного стану в Українi", затвердженого Законом України вiд 24 лютого 2022 року № 2102-IX, та виникненням проблем щодо провадження господарської дiяльностi, забезпечення збереження майна та працiвникiв товариства, рiчнi та позачерговi загальнi збори акцiонерiв не скликались.</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1.1.3. Iнформацiя про збори власникiв облiгацiй та загальний опис прийнятих на таких зборах рiшень не заповнюється, у зв'язку iз вiдсутнiстю облiгацiй емiтента.</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1.1.4.2.У звiтньому роцi наглядова рада не засiдала та не приймала рiшень , у зв'язку з вiдсутнiстю членiв наглядової ради в Українi.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1.1.4.3. Iнформацiя про проведенi засiдання комiтетiв ради та загальний опис прийнятих рiшень не заповнюється тому, що комiтети ради у Товариствi не створенi.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1.1.5.1.Складова змiсту " Персональний склад колегiального виконавчого органу та його комiтетiв" не включена до складу рiчної iнформацiї, так як в емiтента вiдсутнiй колегiальний виконавчий орган.</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1.1.5.2. Складова змiсту " Iнформацiя про проведеннi засiдання колегiального виконавчого органу та загальних опис прийнятих рiшень" не включена до складу рiчної iнформацiї, так як в емiтента вiдсутнiй колегiальний виконавчий орган.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1.1.5.3.Складова змiсту " Iнформацiя про проведеннi засiдання комiтетiв колегiального виконавчого органу та загальних опис прийнятих рiшень" не включена до складу рiчної iнформацiї, так як в емiтента вiдсутнiй колегiальний виконавчий орган i його комiтети.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1.1.6. Iнформацiя про корпоративного секретаря, а також звiт щодо результатiв його дiяльностi не заповнювався тому що у Товариствi вiдсутнiй корпоративний секретар.</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1.1.9. Iнформацiя щодо будь-яких обмежень прав участi та голосування акцiонерiв (учасникiв) на загальних зборах , не заповнюється,  так як в емiтента вiдсутня iнформацiя щодо будь-яких обмежень прав участi та голосування акцiонерiв на загальних зборах.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1.1.10.Складова змiсту "Iнформацiя щодо порядку та звiльнення посадових осiб (крiм ради та виконавчого органу) особи", не включена до складу рiчної звiтностi, корпоративного секретаря у товариства не має, ншi посадовi особи емiтента призначаються та звiльняються наказом  директора. У разi звiльнення виплачується компенсацiя за невикористану вiдпустку. Згiдно вимог пункту 48 положення, приватними акцiонерними товариствами не розкривається iнформацiя про будь-якi винагороди або компенсацiї, якi мають бути виплаченi посадовим особам у разi їх звiльнення</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1.1.11.Складова змiсту "Iнформацiя про винагороду членiв виконавчого органу та/або ради особи" не включена до складу рiчної iнформацiї, так як у звiтному роцi емiтент не виплачував винагороду членам виконавчого органу та/або ради.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Директор отримує з/пдату згiдно штатного розпису,  iншi винагороди, в тому числi  у натуральнiй формi винагороду не отримував.</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Члени наглядової ради,  винагороду за виконання обов'язкiв члена наглядової ради, в тому числi  у натуральнiй формi не отримували.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Посадовi особи не надали згоди на розкриття персональних данних.</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1.1.12.Складова змiсту "Iнформацiя про полiтику розкриття iнформацiї особою" не включена до складу рiчної iнформацiї, так як емiтент не затверджував полiтику розкриття iнформацi, iнформацiя розкривається у строки та обсязi встановленi законодавством i не виходить за межi законодавства i не суперечить йому. Внутрiшнього документа, який визначає полiтику щодо розкриття iнформацiї особою </w:t>
      </w:r>
      <w:r>
        <w:rPr>
          <w:rFonts w:ascii="Times New Roman CYR" w:hAnsi="Times New Roman CYR" w:cs="Times New Roman CYR"/>
          <w:sz w:val="24"/>
          <w:szCs w:val="24"/>
        </w:rPr>
        <w:lastRenderedPageBreak/>
        <w:t>на товариствi не  затверджено.</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1.1.13. Складова змiсту "Iнформацiя про радника" не включена до складу рiчної iнформацiї, так як в емiтента вiдсутнi радники.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1.1.14.Складова змiсту "Iнформацiя вiд суб'єкта аудиторської дiяльностi з урахуванням вимог, пердбаченим пунктом 45 цього Положення" не включена до складу рiчної iнформацiї, так як емiтент у звiтному роцi не залучав суб'єкта аудиторської дiяльностi i не проводив аудит фiнансової звiтностi.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1.1.15.Складова змiсту " Iнформацiя, передбачена законодавством про дiяльнiсть та регулювання дiяльностi на ринку фiнансових послуг" не включена до складу рiчної iнформацiї, так як емiтент у звiтному роцi не надавав фiнансовi послуги на ринку.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1.3.1. Складова змiсту. "Iнформацiя про наявнiсть в структурi власностi емiтента фiзичних осiб якi мають громадянство iноземної держави зони ризику.  не включена до складу рiчної iнформацiї, так як   у  товариства немає фiзичних осiб якi мають громадянство iноземної держави зони ризику..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1.3.2. Складова змiсту "Iнформацiя щодо наявностi в структурi власностi емiтента фiзичних осiб, постiйним мiсцем проживання яких є iноземнi держави зони ризику" не включена до складу рiчної iнформацiї, так як в емiтента вiдсутня iнформацiя про наявнiсть таких осiб.</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1.3.3. Складова змiсту "Iнформацiя щодо наявностi в структурi власностi емiтента юридичних осiб, мiсцем реєстрацiї яких є iноземнi держави зони ризику" не включена до складу рiчної iнформацiї, так як в емiтента вiдсутня iнформацiя про наявнiсть таких осiб.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1.3.4. Складова змiсту "Перелiк засновникiв, учасникiв, що вiдносяться до iнформацiї щодо наявностi в структурi власностi емiтента юридичних осiб, мiсцем реєстрацiї яких є iноземнi держави зони ризику" не включена до складу рiчної iнформацiї, так як в емiтента вiдсутня iнформацiя про наявнiсть таких осiб.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1.3.5. Складова змiсту "Iнформацiя щодо наявностi в органах управлiння емiтента фiзичних осiб зякi мають громадянство  iноземної держави зони ризику, не включена до складу рiчної iнформацiї, так як в емiтента вiдсутня дiловi вiдносини з такими особами.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1.3.6. Складова змiсту. "Iнформацiя щодо наявностi у емiтента дiлових вiдносин з клiєнтами/контрагентами держави зони ризику або клiєнтами/контрагентами, якi контролюються державою зони ризику для клiєнтiв/контрагентiв - юридичних осiб" не включена до складу рiчної iнформацiї, так як в емiтента вiдсутня дiловi вiдносини з такими особами.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1.3.7.Складова змiсту " Iнформацiя щодо наявностi у емiтента дiлових вiдносин з клiєнтами/контрагентами держави зони ризику або клiєнтами/контрагентами, якi контролюються державою зони ризику для клiєнтiв/контрагентiв - фiхичних осiб" не включена до складу рiчної iнформацiї, так як в емiтента вiдсутня дiловi вiдносини з такими особами.</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1.3.8.Складова змiсту "Iнформацiя щодо розташування дочiрнiх компанiй/пiдприємств, фiлiй, представництв та/або iнших вiдокремлених структурних пiдроздiлiв емiтента на територiї держави зони ризику" не включена до складу рiчної iнформацiї, так як в емiтента вiдсутнi компанiї/пiдприємства, фiлiї, представництва та/або iнших вiдокремленi структурнi пiдроздiли емiтента на територiї держави зони ризику.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1.3.9.Складова змiсту " Iнформацiя щодо наявностi юридичних осiб, засновником, учасником, акцiонером яких є емiтент разом з особами, визначеними пiдпунктами 1-3 пункту 47 Положення" не включена до складу рiчної iнформацiї, так як емiтент не є засновником, учасником, акцiонером будь-яких юридичних осiб.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1.3.10. Складова змiсту " Перелiк засновникiв, акцiонерiв, учасникiв, що вiдносяться до iнформацiї щодо наявностi юридичних осiб, засновником, учасником, акцiонером яких є емiтент разом з особами, визначеними пiдпунктами 1-3 пункту 47 Положення" не включена до складу рiчної iнформацiї, так як емiтент не є засновником, учасником, акцiонером будь-яких юридичних осiб.</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1.3.11.  Складова змiсту " Iнформацiя щодо наявностi у емiтента корпоративних прав в юридичнiй особi, зареєстрованiй в iноземнiй державi зони ризику" не включена до складу рiчної iнформацiї, так як емiтент не має жодних корпоративних прав.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1.3.12. Складова змiсту " Iнформацiя щодо наявностi у емiтента цiнних паперiв (крiм акцiй) юридичної особи, яка зареєстрована в iноземнiй державi зони ризику" не включена до складу рiчної iнформацiї, так як емiтент не має жодних цiнних паперiв в тому числi i акцiй.</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2.1. Складова змiсту " Iнформацiя про корпоративнi/акцiонернi договори, укладенi акцiонерами (учасниками) особи, яка наявна в особи" не включена до складу рiчної iнформацiї, так як в емiтента вiдсутня iнформацiя про такi договори.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2.2.Складова змiсту " Iнформацiя про будь-якi договори та/або правочини, умовою чинностi яких є незмiннiсть осiб, якi здiйснюють контроль над емiтентом" не включена до складу рiчної iнформацiї, так як в емiтента вiдсутня iнформацiя про такi договори та/або правочини.</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2.3."Iнформацiя про будь-якi винагороди або компенсацiї, якi мають бути виплаченi посадовим особам емiтента в разi їх звiльнення" не розкрита особою у складi рiчного звiту , виплата винагород , в тому числi у натуральнiй формi , посадовим особам у разi iх звiльнення не передбачена. У разi звiльнення виплачується компенсацiя за невикористану вiдпустку.</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3.Складова змiсту " Дивiдентна полiтика" не включена до складу рiчної iнформацiї, так як емiтент не розробляв i не затверджував дивiдендну полiтику, виплата дивiдендiв здiйснюється в порядку встановленому законодавством  i не вiдрiзняється вiд законодавчо прийнятих норм.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4.Складова змiсту " Iнформацiя про виплату дивiдендiв та iнших доходiв за цiнними паперами у звiтному роцi" не включена до складу рiчної iнформацiї, так як емiтент у звiтному роцi дивiдендiв не виплачував.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5.Складова змiсту "Перелiк посилань на внутрiшнi документи особи , що розмiщенi на веб-сайтi особи", не включена до рiчної звiтностi емiтента, так як на веб.сайтi у звiтному роцi не розмiщались.Перелiк посилань на внутрiшнi документи товариства вiдсутнiй, оскiльки приватнi акцiонернi товариства не зобов'язанi розмiщувати таку iнформацiю навласному веб сайтi.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V .Складова змiсту "Роздiл V" не включена до складу рiчної iнформацiї, так як емiтент не випускав iпотечнi облiгацiї, сертифiкати ФОН, якi стосуються цього роздiлу.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VI.Складова змiсту "Роздiл V" не включена до складу рiчної iнформацiї у звiтньому роцi регульованої iнформацiїї не було.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Роздiл VII. Складова змiсту " Рiчна фiнансова звiтнiсть поручителя (страховика/гаранта), що здiйснює забезпечення випуску боргових цiнних паперiвi" не включена до складу рiчної iнформацiї, так як емiтент не є поручителем (страховиком/гарантом).Вiдомостi щодо пiдстав виникнення у емiтента iпотечних облiгацiй прав на iпотечнi активи, якi складають iпотечне покриття за станом на кiнець звiтного року</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Зміст</w:t>
      </w: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до річного звіту</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 Загальна інформація</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Ідентифікаційні дані та загальна інформація</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Органи управління та посадові особи. Організаційна структура</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Опис господарської та фінансової діяльності</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II. Інформація щодо капіталу та цінних паперів</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Структура капіталу</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Цінні папери</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III. Фінансова інформація</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розмір доходу за видами діяльності особи</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4. Твердження щодо річної інформації</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IV. Нефінансова інформація</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Звіт керівництва (звіт про управління)</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звіт про корпоративне управління</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звіт про сталий розвиток</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sectPr w:rsidR="00FA2051">
          <w:pgSz w:w="12240" w:h="15840"/>
          <w:pgMar w:top="570" w:right="720" w:bottom="570" w:left="720" w:header="708" w:footer="708" w:gutter="0"/>
          <w:cols w:space="720"/>
          <w:noEndnote/>
        </w:sectPr>
      </w:pP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 Загальна інформація</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Ідентифікаційні дані та загальна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500"/>
        <w:gridCol w:w="6465"/>
      </w:tblGrid>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Повне найменування</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"Ужгородське автотранспортне пiдприємтсво 12107"</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Скорочене найменування</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АТ"Ужгородське АТП 12107"</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03114017</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державної реєстрації</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24.07.1998</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Місцезнаходження</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88015, Україна, Закарпатська обл., м.Ужгород, вул.Радiщева,2. Фактичне: 88015, Україна, Закарпатська обл., м.Ужгород, вул.Радiщева,2</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для листування</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Україна,  88015 м. Ужгород, вул.Радiщева,2</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розкриває інформацію</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Емітент</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Особа, яка надає забезпечення</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має статус підприємства, що становить суспільний інтерес</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Так</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Ні</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Категорія підприємства</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Велике</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Середнє</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Мале</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Мікро</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електронної пошти для офіційного каналу зв'язку</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atp-12107@ukr.net</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11</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вебсайту</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atp-12107.emitents.net.ua</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12</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Номер телефону</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0505551165</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13</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Статутний капітал, грн</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12963377</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14</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Відсоток акцій (часток/паїв) у статутному капіталі, що належить державі</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15</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16</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Середня кількість працівників за звітний період</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154</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17</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Витрати на оплату праці, тис. грн (для розрахунку фіктивності для суб'єктів малого підприємництва)</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18</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види діяльності із зазначенням їх найменування та коду за КВЕД</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49.31 - Пасажирський наземний транспорт мiського та примiського сполучення</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49,39 - Iнший пасажирський наземний транспорт</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68,20 - Надання в оренду й експлуатацiю власного чи орендованого нерухомого майна</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19</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Структура управління особи</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Однорівнева</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Дворівнева</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Інше</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Банки, що обслуговують особу: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500"/>
        <w:gridCol w:w="6465"/>
      </w:tblGrid>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Повне найменування (в т.ч. філії, відділення банку)</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"Державний експортно-iмпортний банк України</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00032112</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IBAN</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UA623223130000026007000039703</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Валюта рахунку</w:t>
            </w:r>
          </w:p>
        </w:tc>
        <w:tc>
          <w:tcPr>
            <w:tcW w:w="646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гривня</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2. Органи управління та посадові особи. Організаційна структура</w:t>
      </w:r>
    </w:p>
    <w:p w:rsidR="00FA2051" w:rsidRDefault="00FA2051" w:rsidP="00FA2051">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Органи управління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1450"/>
        <w:gridCol w:w="4000"/>
        <w:gridCol w:w="4000"/>
      </w:tblGrid>
      <w:tr w:rsidR="00FA2051" w:rsidTr="00986E16">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14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органу управління (контролю)</w:t>
            </w:r>
          </w:p>
        </w:tc>
        <w:tc>
          <w:tcPr>
            <w:tcW w:w="4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Кількісний склад органу управління (контролю)</w:t>
            </w:r>
          </w:p>
        </w:tc>
        <w:tc>
          <w:tcPr>
            <w:tcW w:w="40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Персональний склад органу управління (контролю)</w:t>
            </w:r>
          </w:p>
        </w:tc>
      </w:tr>
      <w:tr w:rsidR="00FA2051" w:rsidTr="00986E16">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4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40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FA2051" w:rsidTr="00986E16">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Загальнi збори акцiонерiв</w:t>
            </w:r>
          </w:p>
        </w:tc>
        <w:tc>
          <w:tcPr>
            <w:tcW w:w="4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Вищий орган товариства</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Акцiонери та їх представники</w:t>
            </w:r>
          </w:p>
        </w:tc>
      </w:tr>
      <w:tr w:rsidR="00FA2051" w:rsidTr="00986E16">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4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Наглядова рада</w:t>
            </w:r>
          </w:p>
        </w:tc>
        <w:tc>
          <w:tcPr>
            <w:tcW w:w="4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та члени наглядової ради в складi 2 осiб</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 голова НР</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Члени:</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Товт Наталiя Андрiївна</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r>
      <w:tr w:rsidR="00FA2051" w:rsidTr="00986E16">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4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Виконавчий орган</w:t>
            </w:r>
          </w:p>
        </w:tc>
        <w:tc>
          <w:tcPr>
            <w:tcW w:w="4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Директор</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Козун Володимир Iванович</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rPr>
        <w:sectPr w:rsidR="00FA2051">
          <w:pgSz w:w="12240" w:h="15840"/>
          <w:pgMar w:top="570" w:right="720" w:bottom="570" w:left="720" w:header="708" w:footer="708" w:gutter="0"/>
          <w:cols w:space="720"/>
          <w:noEndnote/>
        </w:sect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Інформація щодо посадових осіб</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FA2051" w:rsidTr="00986E16">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FA2051" w:rsidTr="00986E16">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FA2051" w:rsidTr="00986E16">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Голова Наглядової ради</w:t>
            </w:r>
          </w:p>
        </w:tc>
        <w:tc>
          <w:tcPr>
            <w:tcW w:w="2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Шкрiбляк Андрiй Миколайович</w:t>
            </w:r>
          </w:p>
        </w:tc>
        <w:tc>
          <w:tcPr>
            <w:tcW w:w="1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1970</w:t>
            </w: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Тернопiльська Академiя народного господарства, економiст</w:t>
            </w:r>
          </w:p>
        </w:tc>
        <w:tc>
          <w:tcPr>
            <w:tcW w:w="9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28</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АТ "Ужгородське АТП-12107"</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 авторечового  ринку АТ "Ужгородське АТП-12107"</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r w:rsidR="00FA2051" w:rsidTr="00986E16">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0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w:t>
            </w:r>
          </w:p>
        </w:tc>
        <w:tc>
          <w:tcPr>
            <w:tcW w:w="2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Товт Наталiя Андрiївна</w:t>
            </w:r>
          </w:p>
        </w:tc>
        <w:tc>
          <w:tcPr>
            <w:tcW w:w="1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1969</w:t>
            </w: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w:t>
            </w:r>
          </w:p>
        </w:tc>
        <w:tc>
          <w:tcPr>
            <w:tcW w:w="9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40</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 працює</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1754605868</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пенсiонерка</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FA2051" w:rsidTr="00986E16">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FA2051" w:rsidTr="00986E16">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FA2051" w:rsidTr="00986E16">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2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Козун Володимир Iванович</w:t>
            </w:r>
          </w:p>
        </w:tc>
        <w:tc>
          <w:tcPr>
            <w:tcW w:w="1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1960</w:t>
            </w: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Львiвський полiтехнiчний iнститут, iнженер</w:t>
            </w:r>
          </w:p>
        </w:tc>
        <w:tc>
          <w:tcPr>
            <w:tcW w:w="9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39</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АТ"Ужгородське АТП-12107"</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 рокiв</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Інші посадові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FA2051" w:rsidTr="00986E16">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Повне найменування, ідентифікаційний код юридичної </w:t>
            </w:r>
            <w:r>
              <w:rPr>
                <w:rFonts w:ascii="Times New Roman CYR" w:hAnsi="Times New Roman CYR" w:cs="Times New Roman CYR"/>
                <w:sz w:val="20"/>
                <w:szCs w:val="20"/>
              </w:rPr>
              <w:lastRenderedPageBreak/>
              <w:t>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lastRenderedPageBreak/>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Непогашена судимість за корисливі та посадові </w:t>
            </w:r>
            <w:r>
              <w:rPr>
                <w:rFonts w:ascii="Times New Roman CYR" w:hAnsi="Times New Roman CYR" w:cs="Times New Roman CYR"/>
                <w:sz w:val="20"/>
                <w:szCs w:val="20"/>
              </w:rPr>
              <w:lastRenderedPageBreak/>
              <w:t>злочини (Так/Ні)</w:t>
            </w:r>
          </w:p>
        </w:tc>
        <w:tc>
          <w:tcPr>
            <w:tcW w:w="11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lastRenderedPageBreak/>
              <w:t>Стать чоловіча/ жіноча - (ч/ж)</w:t>
            </w:r>
          </w:p>
        </w:tc>
      </w:tr>
      <w:tr w:rsidR="00FA2051" w:rsidTr="00986E16">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lastRenderedPageBreak/>
              <w:t>1</w:t>
            </w:r>
          </w:p>
        </w:tc>
        <w:tc>
          <w:tcPr>
            <w:tcW w:w="20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FA2051" w:rsidTr="00986E16">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2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Лангазов Людмила Iванiвна</w:t>
            </w:r>
          </w:p>
        </w:tc>
        <w:tc>
          <w:tcPr>
            <w:tcW w:w="1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1962</w:t>
            </w:r>
          </w:p>
        </w:tc>
        <w:tc>
          <w:tcPr>
            <w:tcW w:w="1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УжДУ, економiчний факультет</w:t>
            </w:r>
          </w:p>
        </w:tc>
        <w:tc>
          <w:tcPr>
            <w:tcW w:w="9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43</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ПАТ "Ужгородське АТП-12107"</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02.02.1995</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необмежено</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sz w:val="20"/>
          <w:szCs w:val="20"/>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щодо володіння посадовими особами акціями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450"/>
        <w:gridCol w:w="2500"/>
        <w:gridCol w:w="1625"/>
        <w:gridCol w:w="1625"/>
        <w:gridCol w:w="1625"/>
        <w:gridCol w:w="1625"/>
        <w:gridCol w:w="1700"/>
        <w:gridCol w:w="1700"/>
      </w:tblGrid>
      <w:tr w:rsidR="00FA2051" w:rsidTr="00986E16">
        <w:tblPrEx>
          <w:tblCellMar>
            <w:top w:w="0" w:type="dxa"/>
            <w:bottom w:w="0" w:type="dxa"/>
          </w:tblCellMar>
        </w:tblPrEx>
        <w:trPr>
          <w:trHeight w:val="300"/>
        </w:trPr>
        <w:tc>
          <w:tcPr>
            <w:tcW w:w="550" w:type="dxa"/>
            <w:vMerge w:val="restart"/>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450" w:type="dxa"/>
            <w:vMerge w:val="restart"/>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500" w:type="dxa"/>
            <w:vMerge w:val="restart"/>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Кількість акцій, шт.</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Від загальної кількості акцій (у відсотках)</w:t>
            </w:r>
          </w:p>
        </w:tc>
        <w:tc>
          <w:tcPr>
            <w:tcW w:w="3400"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Кількість за типами акцій</w:t>
            </w:r>
          </w:p>
        </w:tc>
      </w:tr>
      <w:tr w:rsidR="00FA2051" w:rsidTr="00986E16">
        <w:tblPrEx>
          <w:tblCellMar>
            <w:top w:w="0" w:type="dxa"/>
            <w:bottom w:w="0" w:type="dxa"/>
          </w:tblCellMar>
        </w:tblPrEx>
        <w:trPr>
          <w:trHeight w:val="300"/>
        </w:trPr>
        <w:tc>
          <w:tcPr>
            <w:tcW w:w="550" w:type="dxa"/>
            <w:vMerge/>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2450" w:type="dxa"/>
            <w:vMerge/>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2500" w:type="dxa"/>
            <w:vMerge/>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7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прості іменні</w:t>
            </w:r>
          </w:p>
        </w:tc>
        <w:tc>
          <w:tcPr>
            <w:tcW w:w="17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привілейовані іменні</w:t>
            </w:r>
          </w:p>
        </w:tc>
      </w:tr>
      <w:tr w:rsidR="00FA2051" w:rsidTr="00986E16">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17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17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r>
      <w:tr w:rsidR="00FA2051" w:rsidTr="00986E16">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2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Козун Володимир Iванович</w:t>
            </w: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227 122</w:t>
            </w: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0,43801</w:t>
            </w:r>
          </w:p>
        </w:tc>
        <w:tc>
          <w:tcPr>
            <w:tcW w:w="17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227 122</w:t>
            </w:r>
          </w:p>
        </w:tc>
        <w:tc>
          <w:tcPr>
            <w:tcW w:w="17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FA2051" w:rsidTr="00986E16">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4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2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Лангазов Людмила Iванiвна</w:t>
            </w: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94 567</w:t>
            </w: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0,1824</w:t>
            </w:r>
          </w:p>
        </w:tc>
        <w:tc>
          <w:tcPr>
            <w:tcW w:w="17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94 567</w:t>
            </w:r>
          </w:p>
        </w:tc>
        <w:tc>
          <w:tcPr>
            <w:tcW w:w="17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FA2051" w:rsidTr="00986E16">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4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Голова Наглядової ради</w:t>
            </w:r>
          </w:p>
        </w:tc>
        <w:tc>
          <w:tcPr>
            <w:tcW w:w="2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Шкрiбляк Андрiй Миколайович</w:t>
            </w: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16 167 177</w:t>
            </w: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31,1785</w:t>
            </w:r>
          </w:p>
        </w:tc>
        <w:tc>
          <w:tcPr>
            <w:tcW w:w="17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16 167 177</w:t>
            </w:r>
          </w:p>
        </w:tc>
        <w:tc>
          <w:tcPr>
            <w:tcW w:w="17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FA2051" w:rsidTr="00986E16">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4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w:t>
            </w:r>
          </w:p>
        </w:tc>
        <w:tc>
          <w:tcPr>
            <w:tcW w:w="2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Товт Наталiя Андрiївна</w:t>
            </w: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sz w:val="20"/>
          <w:szCs w:val="20"/>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0"/>
          <w:szCs w:val="20"/>
        </w:rPr>
        <w:sectPr w:rsidR="00FA2051">
          <w:pgSz w:w="16837" w:h="11905" w:orient="landscape"/>
          <w:pgMar w:top="570" w:right="720" w:bottom="570" w:left="720" w:header="708" w:footer="708" w:gutter="0"/>
          <w:cols w:space="720"/>
          <w:noEndnote/>
        </w:sect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lastRenderedPageBreak/>
        <w:t>4. Опис господарської та фінансової діяльності</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1.Належнiсть особи до будь-яких об'єднань пiдприємств, повне найменування та мiсцезнаходження об'єднання, опис дiяльностi об'єднання, строк участi особи у вiдповiдному об'єднаннi, роль особи в об'єднаннi, посилання на вебсайт об'єднання.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Пiдприємство входить в громадське об'єднання автоперевiзникiв - Асоцiацiю "Закарпатавтотранс", яка знаходиться в м.Ужгород, вул.Капушанська,102. Асоцiацiя пердставляє iнтереси автоперевiзникiв в органах виконавчої влади, координує роботу порозробцi та затвердження тарифiв на автоперевезення, захищає iнтереси автоперевiзникiв по рiзних питаннях.</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2.Спiльна дiяльнiсть, яку особа проводить з iншими органiзацiями, пiдприємствами, установами, при цьому зазначаються сума вкладiв, мета вкладiв (отримання прибутку, iншi цiлi) та отриманий фiнансовий результат за звiтний рiк з кожного виду спiльної дiяльностi. Емiтент не проводить спiльну дiяльнiсть з iншими органiзацiями, пiдприємствами, установами.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3.Опис обраної облiкової полiтики (метод нарахування амортизацiї, метод оцiнки вартостi запасiв, метод облiку та оцiнки вартостi фiнансових iнвестицiй тощо).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Бухгалтерський облiк на  пiдприємствi вiвся в вiдповiдностi з вимогами Нацiональних стандартiв БО ( якi не суперечать вимогам МСФЗ).</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Визначення та амортизацiя основних фондiв та нематерiальних активiв.</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Товариство використовує метод оцiнки основних засобiв (крiм земельних дiлянок) по iсторичнiй собiвартостi. Товариство визнає матерiальний об'єкт основним засобом, якщо вiн утримується з метою використання їх у процесi своєї дiяльностi, надання послуг, або для здiйснення адмiнiстративних i соцiально-культурних функцiй, очiкуваний строк корисного використання (експлуатацiї) яких бiльше одного року та вартiсть яких бiльше 6000 грн. Земельнi дiлянки враховуються по переоцiненiй вартостi. Регулярнiсть переоцiнки залежить вiд змiни справедливої вартостi активiв, якi переоцiнюються.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 протязi  звiтнього року  переоцiнка вартостi земельних дiлянок не проводилась через вiдсутнiсть суттєвих причин для її проведення. Амортизацiя основних засобiв призначена для списання суми, що амортизується, впродовж термiну корисного використання активу i розраховується з використанням прямолiнiйного методу. Лiквiдацiйна вартiсть, термiни корисного використання i метод нарахування амортизацiї передивляються на кiнець кожного фiнансового року. Вплив будь-яких змiн, що виникають вiд оцiнок, зроблених в попереднi перiоди, враховується як змiна облiкової оцiнки. Iнвестицiйна  нерухомiсть первiсно оцiнюється за собiвартiстю, включаючи витрати на операцiю. Оцiнка пiсля визнання здiйснюється на основi моделi iсторичної собiвартостi. Нематерiальнi активи зкiнцевими термiнами використання, придбанi в рамках окремих операцiй, враховуються за вартiстю придбання за вирахуванням накопиченої амортизацiї i накопиченого збитку вiд знецiнення. Амортизацiя нараховується рiвномiрно протягом термiну корисного використання нематерiальних активiв. Очiкуванi термiни корисного використання i метод нарахування амортизацiї аналiзуються на кiнець кожного звiтного перiоду. Нематерiальнi активи, якi виникають в результатi договiрних або iнших юридичних прав, амортизуються протягом термiну чинностi цих прав.</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Запаси.</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Одиницею запасiв для цiлей бухгалтерського облiку прийнято вид запасiв.Запаси вiдображаються за найменшою з двох величин: собiвартостi або чистої вартостi реалiзацiї.Оцiнка запасiв при вiдпуску у виробництво здiйснюється за методом iдентифiкованої собiвартостi, а пального - за методом середньозваженої собiвартостi. Середньозважена собiвартiсть одиницi запасiв (паливно-мастильних матерiалiв) розраховується один раз на мiсяць. В зв'язку з тим, що майже всi запаси використовуються для здiйснення автоперевезень i знаходяться на складi незначний час, пiдприємство не проводить їх переоцiнки.Незавершеного виробництва на пiдприємствi немає. До малоцiнних необоротнiх активiв вiдносяться активи з термiном корисного використання бiльше одного року та вартiстю менше 6000грн. Амортизацiя по таких активах нараховується впершому мiсяцi використання об'єктiв у розмiрi 100 вiдсоткiв їх вартостi.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Визначення грошових коштiв.</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Грошовi кошти включають суму грошей в касi пiдприємства та на рахунках в банку. Суми в iноземних валютах перерахованi по курсу НБУ на момент складання звiту. Пiдприємство має валютнi рахунки в доларах США та Євро для розрахункiв з iноземними партнерами.</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Дебiторська заборгованiсть.</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Дебiторська заборгованiсть , визнається як фiнансовi активи та первiсно оцiнюються за справедливою вартiстю плюс вiдповiднi витрати на проведення операцiй. Вона включає в себе заборгованiсть за наданi та не оплаченi транспортнi послуги по замовленнях, поточну заборгованiсть за реалiзованi квитки автобусних станцiй та орендну плату за наданi в оренду основнi засоби. Якщо є об'єктивне свiдчення того, що вiдбувся збиток вiд зменшення корисностi, балансова вартiсть активу зменшується на суму таких збиткiв iз застосуванням  рахунку резервiв. На Товариствi резерви створюються на основi iндивiдуальної оцiнки окремих дебiторiв.Резерв на покриття збиткiв вiд зменшення корисностi фiнансоваого активу визначається як рiзниця мiж балансовою вартiстю та теперiшньою вартiстю очiкуваних майбутнiх грошових потокiв.</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Кредиторська заборгованiсть.</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Кредиторська заборгованiсть складається в основному за отриманi вiд постачальникiв та вчасно не оплаченi пальне, запчастини та iншi витратнi матерiали, а також iз поточної заборгованостi перед працiвниками по оплатi працi, та по сплатi поточних платежiв i податкiв в бюджет та соцiальнi фонди. Нереальної та простроченої заборгованостi по пiдприємству немає.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Визнання доходу.</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Доходи вiд поточної дiяльностi Товариства складаються з доходiв вiд надання рiзного виду послуг. Їх величина визнається в розмiрi справедливої вартостi винагороди, отриманої або яка пiдлягає отриманню, i являє собою суми до отримання за послуги, наданi в ходi звичайної господарської дiяльностi, за вирахуванням податку на додану вартiсть (ПДВ). Дохiд вiд надання автотранспортних послуг визнається по моменту фактичного виконання послуг за встановленими тарифами ( по маршрутних перевезеннях- на дату реалiзацiї квиткiв на перевезення пасажирiв , по перевезеннях на замовлення юридичних та фiзичних осiб - на дату фактичного виконання замовлення та пiдприсання актiв виконаних робiт). Доходи вiд здачi в оренду майна, надання послуг з передрейсових медоглядiв водiїв та техоглядiв автотранспорту, стоянки автобусiв- визнаються з моменту пiдписання актiв приймання - передачi на виконанi послуги. Iншi доходи (по авторечовому ринку i iн.) , а також отриманi на протязi року бюджетнi субвенцiї на покриття збиткiв вiд перевезення пiльгових категорiй населення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визнаються по моменту отримання коштiв на поточнi рахунки в банку та в касу пiдприємства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4.Опис обраної полiтики щодо фiнансування дiяльностi особи, достатнiсть робочого капiталу для поточних потреб, можливi шляхи покращення лiквiдностi. Товариство не вдається до залучення зовнiшнiх iнвестицiй, а нерозподiлений прибуток, спрямовує на розвиток Товариства i фiнансування його дiяльностi.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 Опис полiтики щодо дослiджень та розробок, сума витрат на дослiдження та розробку за звiтний рiк. Товариство в Українi не веде дiяльностi у сферi дослiджень та розробок.</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 Iнформацiя щодо продуктiв (товарiв або послуг) особи. Основний дохiд пiдприємство отримує вiд пасажирських автоперевезень. Частка чистого доходу вiд надання послуг з пасажирських автоперевезень в складi всiх наданих послуг становить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2019р. -41316.0 тис.грн.</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2020р.- 24611.0 тис.грн.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2021р - 26011.0 тис.грн.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2022р. - 39862.0 тис.грн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Перспективами для збiльшення доходiв та розвитку пiдприємства є розвиток мiжмiських та мiжнародних, в тому числi туристичних перевезень; розвиток мiських та примiських перевезень пасажирiв автобусами великої мiсткостi; введення нового сервiсного обслуговування приватного автотранспорту та розширення послуг по передрейсовому обслуговуваннi та технiчних оглядах автотранспорту iнших перевiзникiв; проведення дiагностики транспортних засобiв; розширення спектру послуг на ринку.</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7. У разi якщо, особа є фiнансовою установою, то вказується iнформацiя передбачена пунктами 1 (в тому числi перелiк банкiвських та фiнансових послуг, якi фактично надавались такою фiнансовою установою протягом звiтного перiоду),Товариство не є фiнансовою установою.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8. Опис ризикiв, як притаманнi дiяльностi особи, пiдходи до управлiння ризиками, заходи особи щодо зменшення впливу ризикiв. Основними ризиками в дiяльностi пiдприємства є нестабiльнiсть економiчної ситуацiї в країнi, що обмежує можливостi прогнозування обсягiв виробництва на майбутнє, постiйне пiдвищення цiн на енергоносiї, що спричиняє також рiст цiн на послуги емiтента.  Дiяльнiсть </w:t>
      </w:r>
      <w:r>
        <w:rPr>
          <w:rFonts w:ascii="Times New Roman CYR" w:hAnsi="Times New Roman CYR" w:cs="Times New Roman CYR"/>
          <w:sz w:val="24"/>
          <w:szCs w:val="24"/>
        </w:rPr>
        <w:lastRenderedPageBreak/>
        <w:t>емiтента не залежить вiд сезонних змiн.</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9. Стратегiя подальшої дiяльностi особи щонайменше на рiк (щодо розширення виробництва, реконструкцiї, полiпшення фiнансового стану, опис iстотних факторiв, якi можуть вплинути на дiяльнiсть особи в майбутньому). В перiод кризової ситуацiї в країнi, товариство повинно забезпечити своєчасну виплату заробiтної плати працiвникам пiдприємства.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Для покращення дохiдностi вiд здiйснення автоперевезень планується проводити роботу для збiльшення нерегулярних та регулярних спецiальних, а також мiжнародних маршрутних перевезень; придбання для цiєї мети нових автобусiв та залучення наявного автотранспорту iнших перевiзникiв через оперативну оренду; проводити роботу по збiльшенню рентабельностi закордонних перевезень. Товариство в минулих роках брало участь в конкурсах для продовження дiючих дозволiв на маршрутнi перевезення, а також розглядати можливiсть вiдкриття нових мiжнародних маршрутiв.</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Також планується продовжити реконструкцiю частини ремонтної бази з метою надання послуг по дiагностицi та технiчному обслуговуванюю автотранспорту фiзичних та юридичних осiб.</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Планується проводити роботу по покращенню благоустрою територiї на авторечовому ринку та збiльшити спектр послуг для фiзичних та юридичних осiб як на ринку, так i використовуючи базу автотранспортного пiдприємства.</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10. Основнi придбання або вiдчуження активiв за останнi п'ять рокiв, а також якщо плануються будь-якi значнi iнвестицiї або придбання, то також необхiдно надати їх опис, включаючи суттєвi умови придбання або iнвестицiї, їх вартiсть i спосiб фiнансування.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 протязi останнiх 5 рокiв Товариством придбано 22 автобуси, 4 - з вiдновлювального капiтального ремонту та 18 бувших в користуваннi, та проведено ряд робiт по капiтальному ремонту кузовiв автобусiв та їх переобладнання.Загальна вартiсть придбання та модернiзацiї транспортних засобiв становить 3736,1 тис.грн. за рахунок кредитних коштiв, внескiв iнвесторiв та власних обiгових коштiв пiдприємства. Всього за 5 останнiх рокiв було придбано, споруджено та проведено реконструкцiю основних засобiв на загальну суму 7388,4тис.грн.(без ПДВ) В минулих роках  було проведено капiтальний ремонт площадки для стоянки автобусiв та придбано транспортних засобiв, машин та обладнання на суму 789,7тис.грн. Джерелом фiнансування даного придбання, ремонтiв та переобладнання є власнi кошти пiдприємства.</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2019 -2020 роках Товариство  здiйснили капiтальний ремонт дiючих автобусiв для здiйснення мiських перевезень, провести ремонт будiвель та споруд на територiї пiдприємтва i продовжити роботи по покращенню iнфраструктури ринку,використовуючи як кредитнi так i власнi кошти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 Основнi засоби особи, включаючи об'єкти оренди та будь-якi значнi правочини особи щодо них; виробничi потужностi та ступiнь використання обладнання, спосiб утримання активiв, мiсцезнаходження основних засобiв. Крiм того, необхiдно описати екологiчнi питання, що можуть позначитися на використаннi активiв пiдприємства, плани капiтального будiвництва, розширення або удосконалення основних засобiв, характер та причини таких планiв, суми видаткiв, у тому числi вже зроблених, методи фiнансування, прогнознi дати початку та закiнчення дiяльностi та очiкуване зростання виробничих потужностей пiсля її завершення. Товариство здiйснює облiк основних засобiв у вiдповiдностi до МСБО 16 "Основнi засоби". Основнi засоби вiдображенi за iсторичною вартiстю за вирахуванням накопиченої амортизацiї та резерву пiд знецiнення (в разi наявностi). Амортизацiя об'єкта основних засобiв починається з моменту, коли актив повнiстю готовий до використання. Величина, яка амортизується визначається як фактична вартiсть активу або iнша сума, що замiнює фактичну вартiсть, за вирахуванням його лiквiдацiйної вартостi. Лiквiдацiйна вартiсть активу являє собою оцiночну суму, яку Товариство отримало б зараз в разi продажу активу, за вирахуванням оцiночних витрат на вибуття, якби стан i вiк даного активу вiдповiдали вiку i стану, якi даний актив матиме наприкiнцi строку корисного використання. Вартiсть, яка амортизується, пiдлягає розподiлу на систематичнiй основi протягом строку корисного використання цього активу. Нарахування амортизацiї основних засобiв здiйснюється iз застосуванням прямолiнiйного методу.</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12. Проблеми, якi впливають на дiяльнiсть особи, в тому числi ступiнь залежностi вiд законодавчих або економiчних обмежень. Основними замовниками на послуги пiдприємства є населення, тому рiвень доходiв на пiдприємствi в значнiй мiрi залежить вiд його платоспроможностi.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Основними полiтичними факторами, що впливали на дiяльнiсть пiдприємства</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:безвiзовий режим з країнами близького зарубiжжя, якi граничать з Закарпатською областю, що привело </w:t>
      </w:r>
      <w:r>
        <w:rPr>
          <w:rFonts w:ascii="Times New Roman CYR" w:hAnsi="Times New Roman CYR" w:cs="Times New Roman CYR"/>
          <w:sz w:val="24"/>
          <w:szCs w:val="24"/>
        </w:rPr>
        <w:lastRenderedPageBreak/>
        <w:t>до значної плинностi кадрiв на пiдприємствi, та на зменшення пасажиропотоку на примiських та мiжмiських перевезеннях, в той же час вплив на збiльшення кiлькостi нерегулярних (туристичних) перевезень був незначний, через низьку платоспроможнiсть населення. Слiд вiдмiтити деяке збiльшення пасажиропотоку на регулярних маршрутних мiжнародних перевезеннях.</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Фiнансово-економiчними факторами, якi впливають на результати дiяльностi пiдприємства є значний рiвень iнфляцiї по всiх макроекономiчних показниках при майже незмiнних тарифах на перевезення. Недобросовiсна конкуренцiя з боку приватних перевiзникiв, якi мають значно нижче податкове навантаження теж значно впливає на зменшення дохiдностi пiдприємства. Для оновлення рухомого складу (придбання нових автобусiв) значним стримуючим фактором є високi кредитнi ставки в фiнансових установах та вiдсутнiсть державних пiльгових програм для розвитку соцiальних видiв перевезень.  Внаслiдок часткового компенсування втрат вiд перевезень пiльгових категорiй неселення по м.Ужгород мiсцевими органами самоврядування, пiдприємство змогло придбати автобуси малої та середньої мiсткостi, бувших у використаннi, якi задiяло для мiських перевезень громадян. В той же час iснує крайня необхiднiсть для придбання автобусiв середньої та великої мiсткостi для здiйснення мiських перевезень пасажирiв, проте при таких фiнансово-економiчних умовах господарювання, якi були у  звiтньому роцi  роцi, пiдприємство не в змозi виконати це завдання.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Iнвестицiйна полiтика пiдприємства теж в значнiй мiрi буде залежати вiд рiвня вiдшкодування втрат вiд перевезень пiльгових категорiй населення та вiд пiдвищення тарифiв на мiськi перевезення.</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Важливим виробничо - технiчним фактором є значний рiвень зношеностi рухомого складу , що зумовлює великi витрати на ремонт та пiдтримання транспорту в робочому станi.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Важливим соцiальним фактором є недостатня компенсацiя збиткiв вiд перевезення пiльгових категорiй населення.</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 Вартiсть укладених, але ще не виконаних договорiв (контрактiв) на кiнець звiтного перiоду (загальний пiдсумок) та очiкуванi прибутки вiд виконання цих договорiв (контрактiв). Укладених але не виконаних договорiв немає.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14. Середньооблiкова чисельнiсть штатних працiвникiв особи, середня чисельнiсть позаштатних працiвникiв та осiб, якi працюють за сумiсництвом, чисельнiсть працiвникiв, якi працюють на умовах неповного робочого часу (дня, тижня), розмiр фонду оплати працi. Крiм того, зазначається про факти змiни розмiру фонду оплати працi, його збiльшення або зменшення вiдносно попереднього року.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31.12.2018р. облiкова чисельнiсть штатних працiвникiв становила 231чол. Крiм того, в 2018р. на пiдприємствi працювало 26 чол. зовнiшнiх сумiсникiв. Фонд оплати працi в 2018р. становив 12006,3 тис.грн. проти 9627,2тис.грн. за 2017р.;</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Зменшення вiдпрацьованого часу вiдбулось за рахунок зменшення чисельностi працiвникiв та скорочення кiлькостi виконаних рейсiв по маршрутних перевезеннях, в першу чергу в мiському режимi.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31.12.2019р. облiкова становила 239 чол. Зменшення середньооблiкової чисельностi пов'язане iз плиннiстю кадрiв, в першу чергу на мiських маршрутах. Фонд оплати працi в 2019р. становив 12622,0 тис.грн.  проти 12006,3 тис.грн. за 2018р.;</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той же час, збiльшення вiдпрацьованого часу вiдбулось за рахунок збiльшення  кiлькостi виконаних рейсiв по маршрутних перевезеннях, в першу чергу в мiському режимi. На пiдприємствi постiйно проводиться перепiдготовка водiїв по БР, навчання по охоронi працi, перепiдготовка водiїв по мiжнародних перевезеннях, проводилось навчання водiїв по наданню первинної домедичної допомоги i т.д.</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Станом на 31.12.2020р. облiкова становила 212чол. Зменшення вiдпрацьованого часу вiдбулось за рахунок зменшення чисельностi працiвникiв та скорочення кiлькостi виконаних рейсiв по маршрутних перевезеннях, в першу чергу в мiському режимi. Вiдповiдно вiдбулось i зменшення фонду оплати працi.Фонд оплати працi в 2020р. становив 10768,0 тис.грн.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проти 12622 тис.грн. за 2019р.;</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Станом на 31.12.2021р. облiкова становила 179чол. Зменшення вiдпрацьованого часу вiдбулось за рахунок зменшення чисельностi працiвникiв та скорочення кiлькостi виконаних рейсiв по маршрутних </w:t>
      </w:r>
      <w:r>
        <w:rPr>
          <w:rFonts w:ascii="Times New Roman CYR" w:hAnsi="Times New Roman CYR" w:cs="Times New Roman CYR"/>
          <w:sz w:val="24"/>
          <w:szCs w:val="24"/>
        </w:rPr>
        <w:lastRenderedPageBreak/>
        <w:t xml:space="preserve">перевезеннях, в першу чергу в мiському режимi. Вiдповiдно вiдбулось i зменшення фонду оплати працi.Фонд оплати працi в 2021р. становив 10568,0 тис.грн.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проти 10768 тис.грн. за 2020р.;</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Станом на 31.12.2022р. облiкова становила 154 чол. Зменшення вiдпрацьованого часу вiдбулось за рахунок зменшення чисельностi працiвникiв та скорочення кiлькостi виконаних рейсiв по маршрутних перевезеннях, в першу чергу в мiському режимi. Вiдповiвдно вiдбулось i зменшення фонду оплати працi.Фонд оплати працi в 2022р. становив 8273.0 тис.грн.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проти 10568 тис.грн. за 2021р.;</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15. Будь-якi пропозицiї щодо реорганiзацiї з боку третiх осiб, що мали мiсце протягом звiтного перiоду, умови та результати цих пропозицiй. Будь-яких пропозицiй щодо реорганiзацiї з боку третiх осiб, що мали мiсце протягом звiтного перiоду не надходило.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16. Iнша iнформацiя, яка може бути iстотною для оцiнки стейкхолдерами фiнансового стану та результатiв дiяльностi особи.  Вартiсть чистих активiв вiдповiдає вимогам чинного законодавства.Iнша iстотна iнформацiя для iнвесторiв вiдсутня</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щодо отриманих особою ліцензій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3155"/>
        <w:gridCol w:w="1500"/>
        <w:gridCol w:w="1065"/>
        <w:gridCol w:w="3000"/>
        <w:gridCol w:w="1200"/>
      </w:tblGrid>
      <w:tr w:rsidR="00FA2051" w:rsidTr="00986E16">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діяльності</w:t>
            </w:r>
          </w:p>
        </w:tc>
        <w:tc>
          <w:tcPr>
            <w:tcW w:w="1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ліцензії</w:t>
            </w:r>
          </w:p>
        </w:tc>
        <w:tc>
          <w:tcPr>
            <w:tcW w:w="106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видачі</w:t>
            </w:r>
          </w:p>
        </w:tc>
        <w:tc>
          <w:tcPr>
            <w:tcW w:w="3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Орган державної влади, що видав ліцензію</w:t>
            </w:r>
          </w:p>
        </w:tc>
        <w:tc>
          <w:tcPr>
            <w:tcW w:w="12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закінчення строку дії ліцензії (за наявності)</w:t>
            </w:r>
          </w:p>
        </w:tc>
      </w:tr>
      <w:tr w:rsidR="00FA2051" w:rsidTr="00986E16">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065"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3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2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r>
      <w:tr w:rsidR="00FA2051" w:rsidTr="00986E16">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Надання послуг з перевезення пасажирiв та вантажiв автомобiльним транспортом загального користування</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АВ №545256</w:t>
            </w:r>
          </w:p>
        </w:tc>
        <w:tc>
          <w:tcPr>
            <w:tcW w:w="1065"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14.07.2010</w:t>
            </w:r>
          </w:p>
        </w:tc>
        <w:tc>
          <w:tcPr>
            <w:tcW w:w="3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Головна державна iнспекцiя на автомобiльному транспортi</w:t>
            </w:r>
          </w:p>
        </w:tc>
        <w:tc>
          <w:tcPr>
            <w:tcW w:w="12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r>
      <w:tr w:rsidR="00FA2051" w:rsidTr="00986E16">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Медична практика</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АД№071032</w:t>
            </w:r>
          </w:p>
        </w:tc>
        <w:tc>
          <w:tcPr>
            <w:tcW w:w="1065"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18.10.2012</w:t>
            </w:r>
          </w:p>
        </w:tc>
        <w:tc>
          <w:tcPr>
            <w:tcW w:w="3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Мiнiстерство охорони здоров'я</w:t>
            </w:r>
          </w:p>
        </w:tc>
        <w:tc>
          <w:tcPr>
            <w:tcW w:w="12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r>
      <w:tr w:rsidR="00FA2051" w:rsidTr="00986E16">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Централiзоване водопостачання</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АВ №366397</w:t>
            </w:r>
          </w:p>
        </w:tc>
        <w:tc>
          <w:tcPr>
            <w:tcW w:w="1065"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28.01.2013</w:t>
            </w:r>
          </w:p>
        </w:tc>
        <w:tc>
          <w:tcPr>
            <w:tcW w:w="3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Закарпатська обласна державна адмiнiстрацiя</w:t>
            </w:r>
          </w:p>
        </w:tc>
        <w:tc>
          <w:tcPr>
            <w:tcW w:w="12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основні засоби (за залишковою вартістю)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8"/>
        <w:gridCol w:w="1260"/>
        <w:gridCol w:w="1080"/>
        <w:gridCol w:w="1260"/>
        <w:gridCol w:w="1080"/>
        <w:gridCol w:w="1260"/>
        <w:gridCol w:w="1082"/>
      </w:tblGrid>
      <w:tr w:rsidR="00FA2051" w:rsidTr="00986E16">
        <w:tblPrEx>
          <w:tblCellMar>
            <w:top w:w="0" w:type="dxa"/>
            <w:bottom w:w="0" w:type="dxa"/>
          </w:tblCellMar>
        </w:tblPrEx>
        <w:trPr>
          <w:trHeight w:val="200"/>
        </w:trPr>
        <w:tc>
          <w:tcPr>
            <w:tcW w:w="3058" w:type="dxa"/>
            <w:vMerge w:val="restart"/>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основних засобів</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Власні основні засоби, тис. грн</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Орендовані основні засоби, тис. грн</w:t>
            </w:r>
          </w:p>
        </w:tc>
        <w:tc>
          <w:tcPr>
            <w:tcW w:w="2342"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Основні засоби, усього, тис. грн</w:t>
            </w:r>
          </w:p>
        </w:tc>
      </w:tr>
      <w:tr w:rsidR="00FA2051" w:rsidTr="00986E16">
        <w:tblPrEx>
          <w:tblCellMar>
            <w:top w:w="0" w:type="dxa"/>
            <w:bottom w:w="0" w:type="dxa"/>
          </w:tblCellMar>
        </w:tblPrEx>
        <w:trPr>
          <w:trHeight w:val="200"/>
        </w:trPr>
        <w:tc>
          <w:tcPr>
            <w:tcW w:w="3058" w:type="dxa"/>
            <w:vMerge/>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2"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r>
      <w:tr w:rsidR="00FA2051" w:rsidTr="00986E16">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1. 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22 823</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21 257</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3 238</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3 528</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26 061</w:t>
            </w:r>
          </w:p>
        </w:tc>
        <w:tc>
          <w:tcPr>
            <w:tcW w:w="1082"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24 785</w:t>
            </w:r>
          </w:p>
        </w:tc>
      </w:tr>
      <w:tr w:rsidR="00FA2051" w:rsidTr="00986E16">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4 327</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3 638</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4 327</w:t>
            </w:r>
          </w:p>
        </w:tc>
        <w:tc>
          <w:tcPr>
            <w:tcW w:w="1082"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3 638</w:t>
            </w:r>
          </w:p>
        </w:tc>
      </w:tr>
      <w:tr w:rsidR="00FA2051" w:rsidTr="00986E16">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w:t>
            </w:r>
          </w:p>
        </w:tc>
        <w:tc>
          <w:tcPr>
            <w:tcW w:w="1082"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w:t>
            </w:r>
          </w:p>
        </w:tc>
      </w:tr>
      <w:tr w:rsidR="00FA2051" w:rsidTr="00986E16">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2 607</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1 742</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3 238</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3 528</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5 845</w:t>
            </w:r>
          </w:p>
        </w:tc>
        <w:tc>
          <w:tcPr>
            <w:tcW w:w="1082"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5 270</w:t>
            </w:r>
          </w:p>
        </w:tc>
      </w:tr>
      <w:tr w:rsidR="00FA2051" w:rsidTr="00986E16">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15 756</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15 756</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15 756</w:t>
            </w:r>
          </w:p>
        </w:tc>
        <w:tc>
          <w:tcPr>
            <w:tcW w:w="1082"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15 756</w:t>
            </w:r>
          </w:p>
        </w:tc>
      </w:tr>
      <w:tr w:rsidR="00FA2051" w:rsidTr="00986E16">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w:t>
            </w:r>
          </w:p>
        </w:tc>
        <w:tc>
          <w:tcPr>
            <w:tcW w:w="1082"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w:t>
            </w:r>
          </w:p>
        </w:tc>
      </w:tr>
      <w:tr w:rsidR="00FA2051" w:rsidTr="00986E16">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2. Невиробничого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інвестиційна нерухомість</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22 823</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21 257</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3 238</w:t>
            </w:r>
          </w:p>
        </w:tc>
        <w:tc>
          <w:tcPr>
            <w:tcW w:w="10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3 528</w:t>
            </w:r>
          </w:p>
        </w:tc>
        <w:tc>
          <w:tcPr>
            <w:tcW w:w="12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26 061</w:t>
            </w:r>
          </w:p>
        </w:tc>
        <w:tc>
          <w:tcPr>
            <w:tcW w:w="1082"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24 785</w:t>
            </w:r>
          </w:p>
        </w:tc>
      </w:tr>
      <w:tr w:rsidR="00FA2051" w:rsidTr="00986E16">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Додаткова інформація</w:t>
            </w:r>
          </w:p>
        </w:tc>
        <w:tc>
          <w:tcPr>
            <w:tcW w:w="7022" w:type="dxa"/>
            <w:gridSpan w:val="6"/>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Обмежень на використання майна не має.</w:t>
            </w:r>
          </w:p>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 2021роцi було проведено переоцiнку всiх земельних дiлянок до справедливої вартостi згiдно експертної оцiнки, проведеної незалежним  оцiнювачем, наказ №74 вiд 30.12.2021р.</w:t>
            </w:r>
          </w:p>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Всi основнi засоби знаходяться за мiсцем розташування пiдприємства.Причин якi можуть позначитись на використаннi активiв не має. </w:t>
            </w:r>
          </w:p>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щодо вартості чистих активів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60"/>
        <w:gridCol w:w="2740"/>
        <w:gridCol w:w="3000"/>
        <w:gridCol w:w="3000"/>
      </w:tblGrid>
      <w:tr w:rsidR="00FA2051" w:rsidTr="00986E16">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показника</w:t>
            </w:r>
          </w:p>
        </w:tc>
        <w:tc>
          <w:tcPr>
            <w:tcW w:w="3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3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попередній період</w:t>
            </w:r>
          </w:p>
        </w:tc>
      </w:tr>
      <w:tr w:rsidR="00FA2051" w:rsidTr="00986E16">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Розрахункова вартість чистих активів, тис.грн</w:t>
            </w:r>
          </w:p>
        </w:tc>
        <w:tc>
          <w:tcPr>
            <w:tcW w:w="3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19 004</w:t>
            </w:r>
          </w:p>
        </w:tc>
        <w:tc>
          <w:tcPr>
            <w:tcW w:w="3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18 963</w:t>
            </w:r>
          </w:p>
        </w:tc>
      </w:tr>
      <w:tr w:rsidR="00FA2051" w:rsidTr="00986E16">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12 693</w:t>
            </w:r>
          </w:p>
        </w:tc>
        <w:tc>
          <w:tcPr>
            <w:tcW w:w="3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r>
      <w:tr w:rsidR="00FA2051" w:rsidTr="00986E16">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Скоригований 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12 693</w:t>
            </w:r>
          </w:p>
        </w:tc>
        <w:tc>
          <w:tcPr>
            <w:tcW w:w="3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r>
      <w:tr w:rsidR="00FA2051" w:rsidTr="00986E16">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Співвідношення (у відсотках) вартості чистих активів особи за звітний період до розміру зареєстрованого статутного капіталу особи</w:t>
            </w:r>
          </w:p>
        </w:tc>
        <w:tc>
          <w:tcPr>
            <w:tcW w:w="3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w:t>
            </w:r>
          </w:p>
        </w:tc>
        <w:tc>
          <w:tcPr>
            <w:tcW w:w="3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146</w:t>
            </w:r>
          </w:p>
        </w:tc>
      </w:tr>
      <w:tr w:rsidR="00FA2051" w:rsidTr="00986E16">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Співвідношення (у відсотках) вартості чистих активів особи за звітний період до вартості чистих активів за попередній звітний період</w:t>
            </w:r>
          </w:p>
        </w:tc>
        <w:tc>
          <w:tcPr>
            <w:tcW w:w="3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w:t>
            </w:r>
          </w:p>
        </w:tc>
        <w:tc>
          <w:tcPr>
            <w:tcW w:w="3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107</w:t>
            </w:r>
          </w:p>
        </w:tc>
      </w:tr>
      <w:tr w:rsidR="00FA2051" w:rsidTr="00986E16">
        <w:tblPrEx>
          <w:tblCellMar>
            <w:top w:w="0" w:type="dxa"/>
            <w:bottom w:w="0" w:type="dxa"/>
          </w:tblCellMar>
        </w:tblPrEx>
        <w:trPr>
          <w:trHeight w:val="200"/>
        </w:trPr>
        <w:tc>
          <w:tcPr>
            <w:tcW w:w="126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Висновок</w:t>
            </w:r>
          </w:p>
        </w:tc>
        <w:tc>
          <w:tcPr>
            <w:tcW w:w="8740" w:type="dxa"/>
            <w:gridSpan w:val="3"/>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Розрахунок вартостi чистих активiв виконано вiдповiдно до пункту 2 статтi 16 Закону України "Про акцiонернi товариства" №2465-IX вiд 27.07.2022р. Визначення вартостi чистих активiв проводилося за формулою: Власний капiтал (вартiсть чистих активiв) товариства - рiзниця мiж сукупною вартiстю активiв товариства та вартiстю його зобов'язань перед iншими особами. Розрахункова вартiсть чистих активiв менша статутного (скоригованого статутного капiталу. Чистi активи акцiонерного товариства, за даними останньої рiчної фiнансової звiтностi, становлять менше 50 вiдсоткiв розмiру зареєстрованого статутного капiталу. Вимоги ч. 2 ст. 16 Закону України "Про акцiонернi Товариства" щодо вартостi чистих активiв Товариством  дотримуються.</w:t>
            </w:r>
          </w:p>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p>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зобов'язання та забезпечення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780"/>
        <w:gridCol w:w="1440"/>
        <w:gridCol w:w="1480"/>
        <w:gridCol w:w="1940"/>
        <w:gridCol w:w="1328"/>
      </w:tblGrid>
      <w:tr w:rsidR="00FA2051" w:rsidTr="00986E16">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Види зобов’язань</w:t>
            </w:r>
          </w:p>
        </w:tc>
        <w:tc>
          <w:tcPr>
            <w:tcW w:w="14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виникнення</w:t>
            </w:r>
          </w:p>
        </w:tc>
        <w:tc>
          <w:tcPr>
            <w:tcW w:w="14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Непогашена частина боргу (тис. грн)</w:t>
            </w:r>
          </w:p>
        </w:tc>
        <w:tc>
          <w:tcPr>
            <w:tcW w:w="19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Відсоток за користування коштами (відсоток річних)</w:t>
            </w:r>
          </w:p>
        </w:tc>
        <w:tc>
          <w:tcPr>
            <w:tcW w:w="1328"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погашення</w:t>
            </w:r>
          </w:p>
        </w:tc>
      </w:tr>
      <w:tr w:rsidR="00FA2051" w:rsidTr="00986E16">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Кредити банку</w:t>
            </w:r>
          </w:p>
        </w:tc>
        <w:tc>
          <w:tcPr>
            <w:tcW w:w="14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FA2051" w:rsidTr="00986E16">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r>
      <w:tr w:rsidR="00FA2051" w:rsidTr="00986E16">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Зобов’язання за цінними паперами</w:t>
            </w:r>
          </w:p>
        </w:tc>
        <w:tc>
          <w:tcPr>
            <w:tcW w:w="14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FA2051" w:rsidTr="00986E16">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r>
      <w:tr w:rsidR="00FA2051" w:rsidTr="00986E16">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облігаціями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FA2051" w:rsidTr="00986E16">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іпотечними цінними паперами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FA2051" w:rsidTr="00986E16">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сертифікатами ФОН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FA2051" w:rsidTr="00986E16">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векселями (всього):</w:t>
            </w:r>
          </w:p>
        </w:tc>
        <w:tc>
          <w:tcPr>
            <w:tcW w:w="14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FA2051" w:rsidTr="00986E16">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іншими цінними паперами (у тому числі за деривативами)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FA2051" w:rsidTr="00986E16">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за фінансовими інвестиціями в корпоративні права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FA2051" w:rsidTr="00986E16">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Податкові зобов'язання</w:t>
            </w:r>
          </w:p>
        </w:tc>
        <w:tc>
          <w:tcPr>
            <w:tcW w:w="14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FA2051" w:rsidTr="00986E16">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Фінансова допомога на зворотній основі</w:t>
            </w:r>
          </w:p>
        </w:tc>
        <w:tc>
          <w:tcPr>
            <w:tcW w:w="14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FA2051" w:rsidTr="00986E16">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зобов'язання та забезпечення</w:t>
            </w:r>
          </w:p>
        </w:tc>
        <w:tc>
          <w:tcPr>
            <w:tcW w:w="14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5 335</w:t>
            </w:r>
          </w:p>
        </w:tc>
        <w:tc>
          <w:tcPr>
            <w:tcW w:w="19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FA2051" w:rsidTr="00986E16">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зобов'язань та забезпечень</w:t>
            </w:r>
          </w:p>
        </w:tc>
        <w:tc>
          <w:tcPr>
            <w:tcW w:w="14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5 335</w:t>
            </w:r>
          </w:p>
        </w:tc>
        <w:tc>
          <w:tcPr>
            <w:tcW w:w="194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осіб, послугами яких користується особа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вiдповiдальнiстю "ФК"Захiдна iнвестицiйна група"</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відповідальністю</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30610731</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76018, Iвано-Франкiвська обл., д/н р-н, м.Iвано-Франкiвськ, площа Мiцкевича, буд.6,офiс 5</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серiя АЕ №263160</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ЦП та ФР</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20.06.2013</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(0342)525-767</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66,19 - Посередництво за договорами по цiнних паперах або товарах.</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66,12 - Посередництво за договорами по цiнних паперах або товарах</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Дiяльнiсть з вiдкриття та ведення рахункiв у цiнних паперах власникiв iменних цiнних паперiв</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Нацiональний депозитарiй України</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Публічне акціонерне товариство</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30370711</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04071, д/н р-н, м.Київ, Тропiнiна, 7Г</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2092</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НКЦПФР</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01.10.2013</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482-15-15</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63,11 - Надання iнфраструктури для розмiщення (хостингу), оброблення даних i пов'язану iз цим дiяльнiсть</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18,20 - тиражування звуко, вiдеозаписiв i програмного забезпечення</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Послуги щодо обслуговування випуску цiнних паперiв</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Повне найменування або ім'я</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УСТАНОВА АГЕНТСТВО З РОЗВИТКУ ИНФРАСТРУКТУРИ ФОНДОВОГО РИНКУ УКРАИНИ</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організація (установа, заклад)</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21676262</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03150, д/н р-н, м.Київ, АНТОНОВИЧА, будинок 51, офис 1206</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DR/00002/ARM</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НКЦПФР</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18.02.2019</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287-56-70</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84,13 - Регулювання та сприяння ефективному веденню економiчної дiяльностi.</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63,11 - Оброблення даних, розмiщення iнформацiї на веб-вузлах i пов'язана з ними дiяльнiсть</w:t>
            </w: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FA2051" w:rsidTr="00986E16">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Дiяльнiсть з надання iнформацiйних послуг на фондовому ринку</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rPr>
        <w:sectPr w:rsidR="00FA2051">
          <w:pgSz w:w="12240" w:h="15840"/>
          <w:pgMar w:top="570" w:right="720" w:bottom="570" w:left="720" w:header="708" w:footer="708" w:gutter="0"/>
          <w:cols w:space="720"/>
          <w:noEndnote/>
        </w:sectPr>
      </w:pP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II. Інформація щодо капіталу та цінних паперів</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Структура капіталу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2000"/>
        <w:gridCol w:w="2000"/>
        <w:gridCol w:w="2000"/>
        <w:gridCol w:w="1900"/>
        <w:gridCol w:w="2000"/>
        <w:gridCol w:w="2000"/>
        <w:gridCol w:w="3000"/>
      </w:tblGrid>
      <w:tr w:rsidR="00FA2051" w:rsidTr="00986E16">
        <w:tblPrEx>
          <w:tblCellMar>
            <w:top w:w="0" w:type="dxa"/>
            <w:bottom w:w="0" w:type="dxa"/>
          </w:tblCellMar>
        </w:tblPrEx>
        <w:trPr>
          <w:trHeight w:val="2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Тип та/або клас акцій</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19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Номінальна вартість, грн</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Права та обов'язки</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Наявність публічної пропозиції та/або допуску до торгів на організованих ринках капіталу</w:t>
            </w:r>
          </w:p>
        </w:tc>
        <w:tc>
          <w:tcPr>
            <w:tcW w:w="30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Облік часток особи в обліковій системі часток</w:t>
            </w:r>
          </w:p>
        </w:tc>
      </w:tr>
      <w:tr w:rsidR="00FA2051" w:rsidTr="00986E16">
        <w:tblPrEx>
          <w:tblCellMar>
            <w:top w:w="0" w:type="dxa"/>
            <w:left w:w="28" w:type="dxa"/>
            <w:bottom w:w="0" w:type="dxa"/>
            <w:right w:w="28" w:type="dxa"/>
          </w:tblCellMar>
        </w:tblPrEx>
        <w:trPr>
          <w:trHeight w:val="200"/>
        </w:trPr>
        <w:tc>
          <w:tcPr>
            <w:tcW w:w="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9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30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FA2051" w:rsidTr="00986E16">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Простi iменнi</w:t>
            </w: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51 847 844</w:t>
            </w:r>
          </w:p>
        </w:tc>
        <w:tc>
          <w:tcPr>
            <w:tcW w:w="19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0,25</w:t>
            </w: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Права та обов'язки акцiонерiв визначенi Статутом Товариства.</w:t>
            </w: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Емiтент не здiйснював публiчної пропозицiї, допуску до торгiв на фондовiй бiржi в частинi включення до бiржового реєстру не було</w:t>
            </w:r>
          </w:p>
        </w:tc>
        <w:tc>
          <w:tcPr>
            <w:tcW w:w="3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Облiк часток Товариства здiйснює Центральний депозитарiй</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3. Цінні папери</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випуски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50"/>
        <w:gridCol w:w="1350"/>
        <w:gridCol w:w="2400"/>
        <w:gridCol w:w="1700"/>
        <w:gridCol w:w="1600"/>
        <w:gridCol w:w="1350"/>
        <w:gridCol w:w="1450"/>
        <w:gridCol w:w="1200"/>
        <w:gridCol w:w="1400"/>
        <w:gridCol w:w="1700"/>
      </w:tblGrid>
      <w:tr w:rsidR="00FA2051" w:rsidTr="00986E16">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реєстрації випуску</w:t>
            </w:r>
          </w:p>
        </w:tc>
        <w:tc>
          <w:tcPr>
            <w:tcW w:w="13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органу, що зареєстрував випуск</w:t>
            </w:r>
          </w:p>
        </w:tc>
        <w:tc>
          <w:tcPr>
            <w:tcW w:w="17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Міжнародний ідентифікаційний номер</w:t>
            </w:r>
          </w:p>
        </w:tc>
        <w:tc>
          <w:tcPr>
            <w:tcW w:w="16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Тип цінного папера</w:t>
            </w:r>
          </w:p>
        </w:tc>
        <w:tc>
          <w:tcPr>
            <w:tcW w:w="13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існування та форма випуску</w:t>
            </w:r>
          </w:p>
        </w:tc>
        <w:tc>
          <w:tcPr>
            <w:tcW w:w="14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Номінальна вартість, грн</w:t>
            </w:r>
          </w:p>
        </w:tc>
        <w:tc>
          <w:tcPr>
            <w:tcW w:w="12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номінальна вартість, грн</w:t>
            </w:r>
          </w:p>
        </w:tc>
        <w:tc>
          <w:tcPr>
            <w:tcW w:w="17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Частка у статутному капіталі (у відсотках)</w:t>
            </w:r>
          </w:p>
        </w:tc>
      </w:tr>
      <w:tr w:rsidR="00FA2051" w:rsidTr="00986E16">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3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7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6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3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4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2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4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7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FA2051" w:rsidTr="00986E16">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07.10.2014</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4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цiнних паперiв та фондового ринку</w:t>
            </w:r>
          </w:p>
        </w:tc>
        <w:tc>
          <w:tcPr>
            <w:tcW w:w="17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UA4000081541</w:t>
            </w:r>
          </w:p>
        </w:tc>
        <w:tc>
          <w:tcPr>
            <w:tcW w:w="16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Акція проста бездокументарна іменна</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Електронні іменні</w:t>
            </w:r>
          </w:p>
        </w:tc>
        <w:tc>
          <w:tcPr>
            <w:tcW w:w="14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0,25</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51 853 508</w:t>
            </w:r>
          </w:p>
        </w:tc>
        <w:tc>
          <w:tcPr>
            <w:tcW w:w="14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12 963 377</w:t>
            </w:r>
          </w:p>
        </w:tc>
        <w:tc>
          <w:tcPr>
            <w:tcW w:w="17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r w:rsidR="00FA2051" w:rsidTr="00986E16">
        <w:tblPrEx>
          <w:tblCellMar>
            <w:top w:w="0" w:type="dxa"/>
            <w:bottom w:w="0" w:type="dxa"/>
          </w:tblCellMar>
        </w:tblPrEx>
        <w:trPr>
          <w:trHeight w:val="200"/>
        </w:trPr>
        <w:tc>
          <w:tcPr>
            <w:tcW w:w="2600" w:type="dxa"/>
            <w:gridSpan w:val="2"/>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12800" w:type="dxa"/>
            <w:gridSpan w:val="8"/>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Послугами рейтингового агенства Товариство не користується.</w:t>
            </w:r>
          </w:p>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Викуп власних акцiй емiтентом не здiйснювався.</w:t>
            </w:r>
          </w:p>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Акцiї простi на пред"явника,привiлейованi iменнi та привiлейованi  на пред"явника не випускались та не реєструвались.</w:t>
            </w:r>
          </w:p>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1. Iнформацiя про облiгацiї емiтента: за звiтний перiод облiгацiї товариство не випускало</w:t>
            </w:r>
          </w:p>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 Iнформацiя про iншi цiннi папери, випущенi емiтентом: за звiтний перiод товариство не випускало iншi цiннi папери;</w:t>
            </w:r>
          </w:p>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3.Iнформацiя про похiднi цiннi папери емiтента: у товариство вiдсутня iнформацiя про похiднi цiннi папери</w:t>
            </w:r>
          </w:p>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4.-Iiнформацiя про забезпечення випуску боргових цiнних паперiв: товариство борговi цiннi папери не випускало, гарантiю третiх осiб не використовувало</w:t>
            </w:r>
          </w:p>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5.Iнформацiя про придбання власних акцiй емiтентом протягом звiтного перiоду: протягом звiтного власних акцiй Товариство не придбавало. </w:t>
            </w:r>
          </w:p>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наявність у власності працівників особи акцій у розмірі понад 0,1 % розміру статутного капіталу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000"/>
        <w:gridCol w:w="2000"/>
        <w:gridCol w:w="2000"/>
        <w:gridCol w:w="2000"/>
        <w:gridCol w:w="2000"/>
        <w:gridCol w:w="1700"/>
        <w:gridCol w:w="1700"/>
      </w:tblGrid>
      <w:tr w:rsidR="00FA2051" w:rsidTr="00986E16">
        <w:tblPrEx>
          <w:tblCellMar>
            <w:top w:w="0" w:type="dxa"/>
            <w:bottom w:w="0" w:type="dxa"/>
          </w:tblCellMar>
        </w:tblPrEx>
        <w:trPr>
          <w:trHeight w:val="300"/>
        </w:trPr>
        <w:tc>
          <w:tcPr>
            <w:tcW w:w="4000" w:type="dxa"/>
            <w:vMerge w:val="restart"/>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Ім'я</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РНОКПП</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УНЗР</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 загальної кількості акцій (у відсотках)</w:t>
            </w:r>
          </w:p>
        </w:tc>
        <w:tc>
          <w:tcPr>
            <w:tcW w:w="3400"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за типами акцій</w:t>
            </w:r>
          </w:p>
        </w:tc>
      </w:tr>
      <w:tr w:rsidR="00FA2051" w:rsidTr="00986E16">
        <w:tblPrEx>
          <w:tblCellMar>
            <w:top w:w="0" w:type="dxa"/>
            <w:bottom w:w="0" w:type="dxa"/>
          </w:tblCellMar>
        </w:tblPrEx>
        <w:trPr>
          <w:trHeight w:val="300"/>
        </w:trPr>
        <w:tc>
          <w:tcPr>
            <w:tcW w:w="4000" w:type="dxa"/>
            <w:vMerge/>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7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прості іменні</w:t>
            </w:r>
          </w:p>
        </w:tc>
        <w:tc>
          <w:tcPr>
            <w:tcW w:w="17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привілейовані іменні</w:t>
            </w:r>
          </w:p>
        </w:tc>
      </w:tr>
      <w:tr w:rsidR="00FA2051" w:rsidTr="00986E16">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7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7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r>
      <w:tr w:rsidR="00FA2051" w:rsidTr="00986E16">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Козун Володимир Iванович  -директор</w:t>
            </w: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227 122</w:t>
            </w: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0,43801</w:t>
            </w:r>
          </w:p>
        </w:tc>
        <w:tc>
          <w:tcPr>
            <w:tcW w:w="17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227 122</w:t>
            </w:r>
          </w:p>
        </w:tc>
        <w:tc>
          <w:tcPr>
            <w:tcW w:w="17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   - директор авторечового ринку АТ "Ужгородське АТП 12107"</w:t>
            </w: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16 167 177</w:t>
            </w: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31,1785</w:t>
            </w:r>
          </w:p>
        </w:tc>
        <w:tc>
          <w:tcPr>
            <w:tcW w:w="17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16 167 177</w:t>
            </w:r>
          </w:p>
        </w:tc>
        <w:tc>
          <w:tcPr>
            <w:tcW w:w="17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Лангазов Людмила Iванiвна -головний бухгалтер товариства</w:t>
            </w: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94 567</w:t>
            </w: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0,18237</w:t>
            </w:r>
          </w:p>
        </w:tc>
        <w:tc>
          <w:tcPr>
            <w:tcW w:w="17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94 567</w:t>
            </w:r>
          </w:p>
        </w:tc>
        <w:tc>
          <w:tcPr>
            <w:tcW w:w="17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Папазов Олександр Анатолiйович  "Механiк КТП"</w:t>
            </w: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6 922</w:t>
            </w: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0,1334</w:t>
            </w:r>
          </w:p>
        </w:tc>
        <w:tc>
          <w:tcPr>
            <w:tcW w:w="17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6 922</w:t>
            </w:r>
          </w:p>
        </w:tc>
        <w:tc>
          <w:tcPr>
            <w:tcW w:w="17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Усього</w:t>
            </w: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16 495 788</w:t>
            </w: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31,93228</w:t>
            </w:r>
          </w:p>
        </w:tc>
        <w:tc>
          <w:tcPr>
            <w:tcW w:w="17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16 495 788</w:t>
            </w:r>
          </w:p>
        </w:tc>
        <w:tc>
          <w:tcPr>
            <w:tcW w:w="17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00"/>
        <w:gridCol w:w="2000"/>
        <w:gridCol w:w="2000"/>
        <w:gridCol w:w="2000"/>
        <w:gridCol w:w="2100"/>
        <w:gridCol w:w="1500"/>
        <w:gridCol w:w="1500"/>
        <w:gridCol w:w="2800"/>
      </w:tblGrid>
      <w:tr w:rsidR="00FA2051" w:rsidTr="00986E16">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реєстрації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Міжнародний ідентифікаційний номер</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у випуску, шт.</w:t>
            </w:r>
          </w:p>
        </w:tc>
        <w:tc>
          <w:tcPr>
            <w:tcW w:w="2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номінальна вартість, грн</w:t>
            </w:r>
          </w:p>
        </w:tc>
        <w:tc>
          <w:tcPr>
            <w:tcW w:w="1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кількість голосуючих акцій, шт.</w:t>
            </w:r>
          </w:p>
        </w:tc>
        <w:tc>
          <w:tcPr>
            <w:tcW w:w="1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голосуючих акцій, права голосу за якими обмежено, шт.</w:t>
            </w:r>
          </w:p>
        </w:tc>
        <w:tc>
          <w:tcPr>
            <w:tcW w:w="28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голосуючих акцій, права голосу за якими за результатами обмеження таких прав передано іншій особі, шт.</w:t>
            </w:r>
          </w:p>
        </w:tc>
      </w:tr>
      <w:tr w:rsidR="00FA2051" w:rsidTr="00986E16">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1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28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FA2051" w:rsidTr="00986E16">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07.10.2014</w:t>
            </w: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UA4000081541</w:t>
            </w:r>
          </w:p>
        </w:tc>
        <w:tc>
          <w:tcPr>
            <w:tcW w:w="20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51 853 508</w:t>
            </w:r>
          </w:p>
        </w:tc>
        <w:tc>
          <w:tcPr>
            <w:tcW w:w="2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12 963 377</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49 533 935</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2 319 573</w:t>
            </w:r>
          </w:p>
        </w:tc>
        <w:tc>
          <w:tcPr>
            <w:tcW w:w="28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13900" w:type="dxa"/>
            <w:gridSpan w:val="7"/>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Характеристика обмеження: Характеристика обмеження: Згiдно з п. 10 роздiлу ХV Закону України "Про депозитарну систему України" тi акцiонери, якi не уклали з обраною емiтентом депозитарною установою договору про обслуговування рахунка в цiнних паперах вiд власного iменi або не здiйснили переказ належних йому прав на цiннi папери на свiй рахунок у цiнних паперах, вiдкритий в iншiй депозитарнiй установi, цiннi папери такого власника (якi дають право на участь в органах емiтента) не враховуються при визначеннi кворуму та при голосуваннi в органах емiтента</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rPr>
        <w:sectPr w:rsidR="00FA2051">
          <w:pgSz w:w="16837" w:h="11905" w:orient="landscape"/>
          <w:pgMar w:top="570" w:right="720" w:bottom="570" w:left="720" w:header="708" w:footer="708" w:gutter="0"/>
          <w:cols w:space="720"/>
          <w:noEndnote/>
        </w:sectPr>
      </w:pP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III. Фінансова інформація</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Інформація про розмір доходу за видами діяльності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4020"/>
        <w:gridCol w:w="2900"/>
        <w:gridCol w:w="2900"/>
      </w:tblGrid>
      <w:tr w:rsidR="00FA2051" w:rsidTr="00986E16">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діяльності особи із зазначенням найменування та коду за КВЕД</w:t>
            </w:r>
          </w:p>
        </w:tc>
        <w:tc>
          <w:tcPr>
            <w:tcW w:w="29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доходу особи від реалізації продукції (товарів, робіт, послуг), тис.грн</w:t>
            </w:r>
          </w:p>
        </w:tc>
        <w:tc>
          <w:tcPr>
            <w:tcW w:w="29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Відсоткове вираження по відношенню від сукупного доходу особи за результатами звітного року</w:t>
            </w:r>
          </w:p>
        </w:tc>
      </w:tr>
      <w:tr w:rsidR="00FA2051" w:rsidTr="00986E16">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9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9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FA2051" w:rsidTr="00986E16">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49.31 - Пасажирський наземний транспорт мiського та примiського сполучення</w:t>
            </w:r>
          </w:p>
        </w:tc>
        <w:tc>
          <w:tcPr>
            <w:tcW w:w="29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39862</w:t>
            </w:r>
          </w:p>
        </w:tc>
        <w:tc>
          <w:tcPr>
            <w:tcW w:w="29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4. Твердження щодо річної інформації</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Керiвництво АТ "Ужгородське АТП 12107" вiд iменi осiб, що здiйснюють управлiнськi функцiї та пiдписують рiчну iнформацiю емiтента, заявляє, що наскiльки це вiдповiдальним особам вiдомо, рiчна фiнансова звiтнiсть, пiдготовлена вiдповiдно до стандартiв бухгалтерського облiку, що вимагаються згiдно iз Законом України "Про бухгалтерський облiк та фiнансову звiтнiсть в Українi", мiстить достовiрне та об'єктивне подання iнформацiї про стан активiв, пасивiв, фiнансовий стан, прибутки та збитки емiтента,а також про те, що звiт керiвництва включає достовiрне та об'єктивне подання iнформацiї про розвиток i здiйснення господарської дiяльностi, разом з описом основних ризикiв та невизначеностей, з якими вони стикаються у своїй господарськiй дiяльностi.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Вiд iменi керiвництва - директор АТ " Ужгородське АТП 12107"  Козун В.I.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IV. Нефінансова інформація</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Звіт керівництва (звіт про управління)</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Звернення до акціонерів/учасників та інших стейкхолдерів від голови ради особи</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Голова наглядової ради у звiтньому роцi до акцiонерiв та iнших стейкхолдерiв не звертався</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Звернення до акціонерів/учасників та інших стейкхолдерів від керівника особи</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Шановнi акцiонери, працiвники, партнери товариства та всi зацiкавленi особи!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своїй дiяльностi  директор Товариства керується чинним законодавством, Статутом, рiшеннями загальних зборiв акцiонерiв та наглядової ради, положенням про виконавчий орган та iншими внутрiшнiми положеннями Товариства.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має</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велику зношенiсть рухомого складу та потребує його оновлення. Проте для придбання нових</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автобусiв значним стримуючим фактором є високi кредитнi ставки в фiнансових установах та</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вiдсутнiсть державних пiльгових програм для розвитку соцiальних видiв перевезень.</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Інформація про розвиток та вірогідні перспективи подальшого розвитку особи</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АТ "Ужгородське автотранспортне пiдприємство 12107" - акцiонерне товариство , основною</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метою якого являється здiйснення пасажирських перевезень автомобiльним транспортом.</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Автотранспортне пiдприємство було створене в березнi 1945 року, як державне пiдприємтво для</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надання автотранспортних послуг по перевезенню пасажирiв та вантажiв, на базi якого в 1954</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роцi було органiзовано автобусно-таксомоторний парк. З 1964 року пiдприємство почало</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обслуговувати закордоннi пасажирськi автоперевезення. В серпнi 1998р. державне пiдприємство</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"Ужгородське АТП 12107"згiдно наказу РВ ФДМУ по Закарпатськiй областi №3/321 вiд</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23.07.1998р. було перетворене в процесi приватизацiї у вiдкрите акцiонерне товариство</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"Ужгородське АТП 12107". З 2006р. на територiї, видiленiй пiдприємству в постiйне</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землекористування пiд розширення пiдприємства було створено авторечовий ринок, який на</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сьогоднi являється найбiльшим ринком в м.Ужгородi. В 2010роцi пiдприємство в вiдповiдностi з</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Законом "Про акцiонернi товариства" та рiшення загальних зборiв акцiонерiв було</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перейменоване з Вiдкритого на Публiчне акцiонерне товариство, а в 2018роцi в вiдповiдностi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 змiн до Закону "Про акцiонернi товариства" та згiдно рiшення загальних зборiв акцiонерiв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перетворено в приватне акцiонерне товариство.</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Пiдтримування на досягнутому рiвнi обсягiв надання послуг з перевезення пасажирiв.</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Придбання нових автобусiв та пiдвищення регулярностi рейсiв, якостi послуг, реконструкцiя</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адмiнiстративного корпусу. Реконструкцiя торгових мiсць на авто речовому ринку для</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покращення умов роботи орендарiв, збiльшення орендної плати. Можлива змiна призначення</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частини земельної дiлянки по вул. Радiщева на землi комерцiйного призначення для реалiзацiї</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проекту будiвництва житлово-офiсного комплексу.</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Інформація про укладення деривативних контрактів або вчинення правочинів щодо деривативних цінних паперів емітентом (крім укладених / вчинених особою, яка провадить клірингову діяльність центрального контрагента, у межах провадження нею клірингової діяльності центрального контрагента), якщо це впливає на оцінку його активів, зобов'язань, фінансового стану і доходів або витрат</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не укладало деривативи, та не вчиняло правочинiв щодо похiдних цiнних паперiв, тому не несе фiнансових ризикiв, пов'язаних з обiгом похiдних цiнних паперiв. Намiри щодо вчинення таких правочинiв вiдсутнi.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Судовi справи, за якими розглядаються позовнi вимоги у розмiрi на суму 1 або бiльше вiдсоткiв активiв емiтента, або судовi справи, стороною в яких виступають посадовi особи емiтента -вiдсутнi.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Завдання та політика особи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Завдань та полiтики товариства щодо управлiння фiнансовими ризиками, у тому числi полiтики щодо страхування кожного основного виду прогнозованої операцiї, для якої використовуються оперцiї хенджування - у товариства  немає.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Схильність особи до цінових ризиків, кредитного ризику, ризику ліквідності та/або ризику грошових потоків</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має значнi цiновi ризики, на якi не може впливати.Значний рiвень iнфляцiї по всiх</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макроекономiчних показниках при майже незмiнних регульованих тарифах на перевезення</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являється значним фактором для зменшення прибутковостi вiд перевезень. Товариство має</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велику зношенiсть рухомого складу та потребує його оновлення. Проте для придбання нових</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автобусiв значним стримуючим фактором є високi кредитнi ставки в фiнансових установах та</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вiдсутнiсть державних пiльгових програм для розвитку соцiальних видiв перевезень.</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1) звіт про корпоративне управління</w:t>
      </w: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1. Інформація про кодекс корпоративного управління, яким керується особа, та/або практику корпоративного управління особи, застосовувану понад визначені законодавством вимоги</w:t>
      </w: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практику корпоративного управління особи, застосовувану понад визначені законодавством вимоги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000"/>
        <w:gridCol w:w="1500"/>
        <w:gridCol w:w="4500"/>
      </w:tblGrid>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Відповідність практики </w:t>
            </w:r>
            <w:r>
              <w:rPr>
                <w:rFonts w:ascii="Times New Roman CYR" w:hAnsi="Times New Roman CYR" w:cs="Times New Roman CYR"/>
                <w:sz w:val="24"/>
                <w:szCs w:val="24"/>
              </w:rPr>
              <w:lastRenderedPageBreak/>
              <w:t>(Так/Ні)</w:t>
            </w:r>
          </w:p>
        </w:tc>
        <w:tc>
          <w:tcPr>
            <w:tcW w:w="450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Опис наявної практики/обґрунтування відхилення</w:t>
            </w:r>
          </w:p>
        </w:tc>
      </w:tr>
      <w:tr w:rsidR="00FA2051" w:rsidTr="00986E16">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1. Цілі особи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статуті та/або внутрішніх документах особи визначена мета щодо створення довгострокової сталої цінності в інтересах особи та її стейкхолдерів</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Статутi Товариства вказано, що воно створене i дiє з метою отримання прибутку в iнтересах, зокрема, акцiонерiв Товариства</w:t>
            </w:r>
          </w:p>
        </w:tc>
      </w:tr>
      <w:tr w:rsidR="00FA2051" w:rsidTr="00986E16">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2. Акціонери та стейкхолдери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Права акціонерів</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Статутi визначенi права акцiонерiв Товариства: Кожною простою акцiєю Товариства її власнику - акцiонеру надається однакова сукупнiсть прав, включаючи права на: - участь в управлiннi Товариством;-отримання дивiдендiв; - отримання у разi лiквiдацiї Товариства частини його майна або вартостi; - отримання iнформацiї про господарську дiяльнiсть Товариства; - придбавати, при здiйсненнi Товариством приватного розмiщення акцiй, розмiщуванi Товариством простi акцiї пропорцiйно частцi належних йому простих акцiй у загальнiй кiлькостi простих акцiй; - переважне право на придбання акцiй, що продаються iншими акцiонерами Товариства, за цiною та на умовах, запропонованих акцiонером третiй особi, пропорцiйно кiлькостi акцiй, що належать кожному з них. Одна проста акцiя Товариства надає акцiонеру один голос для вирiшення кожного питання на Загальних зборах, крiм випадкiв проведення кумулятивного голосування. Акцiонери - власники простих акцiй Товариства мають й iншi права, передбаченi актами законодавства та Статутом Товариства. Обов'язки акцiонерiв Товариства встановлюються виключно Законом</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Права міноритарних акціонерів</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Особливих прав для мiноритарних акцiонерiв не передбачено.</w:t>
            </w:r>
          </w:p>
        </w:tc>
      </w:tr>
      <w:tr w:rsidR="00FA2051" w:rsidTr="00986E16">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 загальні збори акціонерів</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 які мають право брати участь у загальних зборах, мають можливість отримувати додаткову інформацію достатню, щоб сформувати поінформовану думку щодо всіх питань, які розглядатимуться під час загальних зборів не менше, ніж за 30 днів до дати їх проведення</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Статутом Товариства передбачена така можливiсть.</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Біографічні дані про кандидатів до </w:t>
            </w:r>
            <w:r>
              <w:rPr>
                <w:rFonts w:ascii="Times New Roman CYR" w:hAnsi="Times New Roman CYR" w:cs="Times New Roman CYR"/>
                <w:sz w:val="24"/>
                <w:szCs w:val="24"/>
              </w:rPr>
              <w:lastRenderedPageBreak/>
              <w:t>складу органів управління, у тому числі про освіту та професійний досвід, розкриваються одночасно із повідомленням про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Вказанi данi розкриваються на запит </w:t>
            </w:r>
            <w:r>
              <w:rPr>
                <w:rFonts w:ascii="Times New Roman CYR" w:hAnsi="Times New Roman CYR" w:cs="Times New Roman CYR"/>
                <w:sz w:val="24"/>
                <w:szCs w:val="24"/>
              </w:rPr>
              <w:lastRenderedPageBreak/>
              <w:t>акцiонерiв пiсля затвердження у встановленому порядку бюлетеню , куди вноситься передбачена чинним законодавством iнформацiя про кандидатiв.Статутом та внутрiшнiми документами не передбачено розкриття такої iнформацiї.</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Особи, які мають право брати участь у загальних зборах, мають можливість голосувати, а також отримувати матеріали, пов'язані із загальними зборами, дистанційно (за допомогою засобів електронного зв'язку тощо)</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Товариства передбачена така можливiсть.</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Керівник, фінансовий директор, більшість членів ради (більшість невиконавчих директорів ради директорів) і зовнішній аудитор беруть участь у річних загальних зборах</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Законом України "Про акцiонернi товариства" передбачено, що у загальних зборах акцiонерiв за запрошенням особи, яка скликає загальнi збори, також можуть брати участь iншi особи.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 які мають можливість брати участь у загальних зборах, мають можливість ставити усні запитання стосовно питань порядку денного і отримувати відповіді на них</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випадку, якщо спосiб проведення таких зборiв визначено як очнi або електроннi.</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Детальний регламент проведення загальних зборів визначено статутом та/або внутрішніми документами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законодавства</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Протокол та рішення загальних зборів (включаючи кількість голосів, поданих "за" та "проти" кожного рішення), а також відповіді на ключові запитання, що були порушені під час загальних зборів, розкриваються протягом 5 робочих днів з дати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чинного законодавства</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вебсайту особи забезпечує надання всієї інформації, яка необхідна акціонерам для сприяння їх участі у загальних зборах та інформування про рішення, ухвалені під час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чинного законодавства.</w:t>
            </w:r>
          </w:p>
        </w:tc>
      </w:tr>
      <w:tr w:rsidR="00FA2051" w:rsidTr="00986E16">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2) взаємодія з акціонерами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затверджено та розкрито політику взаємодії з акціонерами, яка визначає параметри взаємовідносин між особою та її акціонерами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затверджено</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Створено відділ (функцію) з питань взаємодії з </w:t>
            </w:r>
            <w:r>
              <w:rPr>
                <w:rFonts w:ascii="Times New Roman CYR" w:hAnsi="Times New Roman CYR" w:cs="Times New Roman CYR"/>
                <w:sz w:val="24"/>
                <w:szCs w:val="24"/>
              </w:rPr>
              <w:lastRenderedPageBreak/>
              <w:t>інвесторами/акціонерами, який відповідає на запити інвесторів та сприяє участі акціонерів в управлінні особою, а також забезпечує можливість для міноритарних акціонерів донести свої погляди до уваги ради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створено</w:t>
            </w:r>
          </w:p>
        </w:tc>
      </w:tr>
      <w:tr w:rsidR="00FA2051" w:rsidTr="00986E16">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3) поглинання</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визначено принципи, як вона діятиме у разі пропозиції щодо поглинання, зокрема:</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 не вчиняти дії щодо протидії поглинанню без відповідного рішення загальних зборів;</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надавати акціонерам збалансований аналіз недоліків і переваг будь-якої пропозиції щодо поглинання;</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загальні збори приймають остаточне рішення про схвалення або відхилення пропозицій щодо поглинання</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та акцiонери у разi передпосилок до надходження пропозицiї щодо поглинання, здiйснять заходи щодо пiдготовки до схвалення або вiдхилення цiєї пропозицiї для того, щоб процес вiдбувався на взаємовигiдних умовах.</w:t>
            </w:r>
          </w:p>
        </w:tc>
      </w:tr>
      <w:tr w:rsidR="00FA2051" w:rsidTr="00986E16">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4) інші стейкхолдери </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затверджено та розкрито політику взаємодії зі стейкхолдерами, яка визначає параметри взаємовідносин між особою та її стейкхолдерами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окрема полiтика взаємодiї зi стейкхолдерами у Товариствi вiдсутня.Наглядовою радою Товариства не затверджувалася полiтика взаємодiї з акцiонерами.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Особою визначено перелік своїх стейкхолдерів, зокрема і тих, з якими необхідно налагодити безпосередню взаємодію</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товариствi не створено вiддiлу (не призначено вiдповiдальну особу) з питань взаємодiї з iнвесторами/акцiонерами, який вiдповiдає на запити iнвесторiв та сприяє участi акцiонерiв в управлiннi особою, а також забезпечує можливiсть для мiноритарних акцiонерiв донести свої погляди до уваги ради.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розкриває звіт щодо аспектів взаємодії зі стейкхолдерами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Обов'язковiсть не передбачена чинним законодавством.</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не розкриває звiт щодо аспектiв взаємодiї зi стейкхолдерами.</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p>
        </w:tc>
      </w:tr>
      <w:tr w:rsidR="00FA2051" w:rsidTr="00986E16">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3. Наглядова рада</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не входять до складу наглядових рад у більш ніж 3 інших юридичних особах</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не входять до складу наглядових рад у бiльш нiж 3 iнших юридичних особах.</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веде облік відвідування засідань наглядової ради та її комітетів</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Кiлькiсть членiв наглядової ради емiтента, присутнiх на її засiданнi, зазначається в протоколi наглядової ради. Комiтети наглядовою радою </w:t>
            </w:r>
            <w:r>
              <w:rPr>
                <w:rFonts w:ascii="Times New Roman CYR" w:hAnsi="Times New Roman CYR" w:cs="Times New Roman CYR"/>
                <w:sz w:val="24"/>
                <w:szCs w:val="24"/>
              </w:rPr>
              <w:lastRenderedPageBreak/>
              <w:t>емiтента не створювалися.</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Статут особи та/або її внутрішні документи визначають і пояснюють обов'язок членів наглядової ради сумлінно виконувати свої функції і дотримуватися принципу лояльності стосовно особи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наглядову раду емiтента визначає обов'язок членiв ради добросовiсно виконувати свої обов'язки та дiяти в iнтересах емiтента.</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Наглядовій раді та її членам забезпечена можливість доступу до будь-якої інформації, яка необхідна їй для ефективного виконання обов'язків</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мають доступ до будь-якої iнформацiї, яка необхiдна їм для виконання своїх обов"язкiв.доступом, несуть вiдповiдальнiсть за її неправомiрне використання.".</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регулярно оцінює результати діяльності особи та виконавчого органу відповідно до цілей особи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оцiнює результати дiяльностi емiтента та виконавчого органу при розглядi звiтiу директора</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 особи та/або її внутрішні документи визначають, що наглядова рада не має права втручатися у поточне управління особою, у тому числі у питання, які належать до сфери відповідальності виконавчого органу, крім як у випадках надзвичайних обставин, які визначені належним чином</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Вiдповiдно до чинного законодавства, Статуту та положення про наглядову раду емiтента наглядова рада контролює та регулює дiяльнiсть виконавчого органу, який здiйснює управлiння поточною дiяльнiстю емiтента.</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Розмір і навички членів наглядової ради відповідають потребам особи, її розміру та ступеню складності її діяльності</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емiтента вiдповiдають потребам товариства, а також вимогам щодо дiлової репутацiї та професiйної придатностi, встановленим чинним законодавством.</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визначені і регулярно переглядаються кваліфікаційні вимоги до кандидатів у члени наглядової ради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внутрiшнiього  документу щодо вимог до кандидатiв у члени наглядової ради  у товариства не має. Товариство керується Положенням про наглядову раду.</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Відбір та призначення членів наглядової ради відбувається на основі професійних якостей, досягнень і відповідності кандидатів конкретним критеріям, а також з урахуванням необхідності періодичного оновлення складу</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Зазначенi вимоги Статутом Товариства та/або внутрiшнiми положеннями не передбаченi.Статутом i Положенням Про наглядову раду Товариства встановлено, що Наглядова рада складається з 3 (трьох) членiв, якi обираються Загальними зборами строком на 3 (три) роки.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наявна формалізована процедура перевірки кандидатів у члени наглядової ради, яка зокрема включає перевірку добропорядності, наявності конфлікту інтересів, компетентності, навичок і досвіду кандидата</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процедура не закрiплена окремим документом.</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Процедура відбору передбачає </w:t>
            </w:r>
            <w:r>
              <w:rPr>
                <w:rFonts w:ascii="Times New Roman CYR" w:hAnsi="Times New Roman CYR" w:cs="Times New Roman CYR"/>
                <w:sz w:val="24"/>
                <w:szCs w:val="24"/>
              </w:rPr>
              <w:lastRenderedPageBreak/>
              <w:t>можливість залучення зовнішніх радників та/або процес відкритого пошуку</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процедура у Товариствi вiдсутня.</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Наглядова рада розробляє плани наступництва для членів наглядової ради та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Обов'язковiсть не передбачена чинним законодавством.Вiдсутня дана практика</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затверджено політику щодо різноманіття складу наглядової ради та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Представники однієї зі статей становлять не менше 40 % від складу наглядової ради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складi Наглядової ради одна особа жiночої статi, двi особи чоловiчої статi.</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2019 роцi припинено повноваження одного члена НР</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Незалежні члени наглядової ради становлять не менше половини від її загального складу</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проходять вступний тренінг після їх обрання, який серед іншого покриває:</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 обов'язки, функції і сфери відповідальності членів наглядової ради;</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незалежність, включаючи незалежність мислення;</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порядок роботи наглядової ради;</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 питання відповідальності;</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ґ) питання стратегії особи;</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 політики особи, включаючи питання етики, конфлікту інтересів та запобігання корупції;</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е) питання звітності та систем контролю, включаючи внутрішній та зовнішній аудит;</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є) роль комітетів наглядової ради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Проходження вступного тренiнгу членами Наглядової ради псля їх обрання не передбачено внутрiшнiм документами Товариства.Члени Наглядової ради самостiйно ознайомлюються з документами та порядком роботи.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розробляє план навчання, який визначає, з яких питань необхідно пройти додаткове навчання її членам</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План навчання вiдсутнiй.Члени Наглядової ради здiйснюють навчання особисто.</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Голову наглядової ради обрано серед незалежних членів</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Голові наглядової ради забезпечено можливість для комунікації з акціонерами, у тому числі мажоритарними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не заборонена комунiкацiя Голови Наглядової ради з акцiонерами, у тому числi - мажоритарними.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Функції голови наглядової ради визначаються у внутрішніх документах особи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Функцiї Голови Наглядової ради визначенi чинним законодавством, Статутом Товариства та Внутрiшнiм положенням про Наглядову раду Товариства..</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Створена посада та призначено корпоративного секретаря</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Корпоративний секретар у товариства вiдсутнiй</w:t>
            </w:r>
          </w:p>
        </w:tc>
      </w:tr>
      <w:tr w:rsidR="00FA2051" w:rsidTr="00986E16">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1) комітети наглядової ради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створено комітети та затверджені внутрішні документи, які регулюють їх діяльність</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питань аудиту складається з незалежних членів наглядової ради, які мають знання у сфері фінансів, галузевий досвід та досвід з питань бухгалтерського обліку, аудиту, контролю та управлінням ризиками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комітету з питань аудиту не входять до складу інших комітетів наглядової ради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призначень складається з незалежних членів наглядової ради, які мають знання в галузі управління людськими ресурсами і навичками пошуку професіоналів до складу наглядової ради і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питань винагороди складається з незалежних членів наглядової ради, які мають знання щодо практик визначення винагороди та заохочення до ефективного виконання обов'язків</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Більшість комітету з питань ризиків становлять незалежні члени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FA2051" w:rsidTr="00986E16">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4. Виконавчий орган</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 розробляє стратегію особи, яка затверджується рішенням Наглядової ради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Вiдповiдно до Статуту Товариства до компетенцiїДиректора  належить затвердження поточних планiв дiяльностi Товариства i заходiв, необхiдних для їхнього виконання.</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визначає ключові показники ефективності Виконавчому органу для відстеження прогресу у досягненні цілей особи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Визначення ключових показникiв ефективностi не здiйснюється, оскiльки це не є необхiдним.</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Виконавчий орган регулярно звітує Наглядовій раді про прогрес у впровадженні стратегії особи </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 компетенцiї Виконавчого органу розробка стратегiї особи не входить. На засiданнях наглядової ради виконавчий орган звiтує про результати фiнансово-господарської дiяльностi Товариства.</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 інформує голову Наглядової ради про будь-які значні події, які сталися в період між засіданнями Наглядової ради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Iнформування голови Наглядової ради про будь-якi значнi подiї, якi сталися в перiод мiж засiданнями Наглядової ради, не передбачено внутрiшнiми документами Товариства, але фактично здiйснюється ДиректоромТовариства.</w:t>
            </w:r>
          </w:p>
        </w:tc>
      </w:tr>
      <w:tr w:rsidR="00FA2051" w:rsidTr="00986E16">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6. Винагорода</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членів ради і виконавчого органу визначена на підставі та відповідає ринковим показникам у галузі для такого виду особи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Члени наглядової ради,  винагороду за виконання обов'язкiв члена наглядової ради, в тому числi  у натуральнiй формi не отримували. Виконавчий орган (директор)  отримує винагороду у виглядi заробiтної плати, у розмiрi вiдповiдно до штатного розпису,  iншi винагороди, в тому числi  у натуральнiй формi винагороду не отримує. </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Розмір винагороди для виконавчого органу пов'язаний з результатами діяльності особи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Розмiр винагороди не залежить вiд фiнансового результату Товариства. Директор  не отримує окремої винагороди, крiм заробiтної плати.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членів ради (невиконавчих директорів) є фіксованою та не залежить від досягнення особою фінансових показників</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Розмiр винагороди не залежить вiд фiнансового результату Товариства.  Члени Ради на безоплатнiй основi. Винагорода вiдсутня.</w:t>
            </w:r>
          </w:p>
        </w:tc>
      </w:tr>
      <w:tr w:rsidR="00FA2051" w:rsidTr="00986E16">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7. Розкриття інформації і прозорість</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затверджена та оприлюднена політика щодо розкриття інформації, яка визначає інформацію, що її повинна розкривати особа</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Окрема полiтика щодо розкриття iнформацiї не затверджена. В цiлому iнформацiя розкривається Товариством в обсягах, передбачених законодавством.</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здійснює нагляд за виконавчим органом (виконавчими директорами ради директорів) у підготовці фінансових звітів і забезпечуєскладання фінансових звітів особи відповідно до чинного законодавства та міжнародних стандартів фінансової звітності</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має невиконавчих директорiв.Наглядова рада та Загальнi збори розглядають звiт Директора та приймають рiшення за результатами їх розгляду. Iнше не потребує втручання Наглядової ради та вiдбувається вiдповiдно до чинного законодавства.</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вебсайту особи містить окремий розділ, присвячений виключно питанням корпоративного управління</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Окремий роздiл не створено, який присвячено виключно питанням корпоративного управлiння.</w:t>
            </w:r>
          </w:p>
        </w:tc>
      </w:tr>
      <w:tr w:rsidR="00FA2051" w:rsidTr="00986E16">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8. Система контролю і стандарти етики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створена система внутрішнього контролю, яка відповідає моделі концепції "трьох ліній захисту"</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створена.Наглядова рада забезпечує функцiонування належної системи контролю, а також здiйснення стратегiчного контролю за фiнансово-господарською дiяльнiстю Товариства;</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має механізми внутрішнього контролю особи, маючи змогу залучити внутрішнього аудитора та зовнішнього аудитора</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Наглядова рада має змогу залучити зовнiшнього аудитора. Товариство не має невиконавих директорiв ради директорiв </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Функція комплаєнс та ризик-менеджменту підзвітна раді (невиконавчим директорам ради директорів)</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товариства не має невиконавих директорiв ради директорiв . Функцiя комплаєнс та ризик-менеджменту вiдсутня</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політику з питань управління ризиками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Полiтику з питань управлiння ризиками у Товариствi не затверджено, оскiльки її обов'язкова наявнiсть не передбачена законодавством.</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декларацію схильності до ризиків</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УТовариствi не затверджено декларацiю схильностi до ризикiв. Вiдсутня дана практика.</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розглядає звіт щодо управління ризиками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Вiдсутня дана практика. У товариства не має невиконавчих директорiв ради директорiв </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кодекс етики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немає кодексу етики. Зазначений кодекс не оприлюднювався.</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забезпечено можливість анонімно і безпечно повідомляти про неправомірну чи неетичну поведінку</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 дана практика.Окремого документу, який регулює полiтику конфлiкту iнтересiв в Товариствi немає, запобiгання конфлiкту iнтересiв здiйснюється на пiдставi Статуту та чинного законодавства.</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політику щодо запобігання корупції</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Товариствi немає антикорупцiйної програми та полiтики щодо запобiгання корупцiї. Зазначена програма не оприлюднювалась.</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документу про полiтику щодо запобiгання корупцiї не затверджено, запобiгання корупцiї здiйснюється вiдповiдно до чинного законодавства.</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політику щодо конфлікту інтересів, яка покриває такі питання:</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 конфлікту інтересів, запобігання і управління конфліктом інтересів;</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правочинів із заінтересованістю;</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інсайдерської торгівлі; та</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 зловживання службовим становищем</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документу, який регулює полiтику конфлiкту iнтересiв в Товариствi немає, запобiгання конфлiкту iнтересiв здiйснюється на пiдставi Статуту та чинного законодавства.</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 дана практика.</w:t>
            </w:r>
          </w:p>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p>
        </w:tc>
      </w:tr>
      <w:tr w:rsidR="00FA2051" w:rsidTr="00986E16">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9. Оцінка корпоративного управління</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формалізована процедура щорічної самооцінки членів ради</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Емiтент не провадить практику корпоративного управлiння щодо оцiнки корпоративного управлiння, яка застосовується понад встановленнi законодавством вимоги чи суперечить законодавству. В Товариствi вiдсутня процедура щорiчної самооцiнки членiв ради.</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За результатами щорічної самооцінки членів ради </w:t>
            </w:r>
            <w:r>
              <w:rPr>
                <w:rFonts w:ascii="Times New Roman CYR" w:hAnsi="Times New Roman CYR" w:cs="Times New Roman CYR"/>
                <w:sz w:val="24"/>
                <w:szCs w:val="24"/>
              </w:rPr>
              <w:lastRenderedPageBreak/>
              <w:t>розробляється план дій для підвищення ефективності роботи членів ради та практик корпоративного управління</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Статутом та внутрiшнiми документами Товариства не передбачено розробка </w:t>
            </w:r>
            <w:r>
              <w:rPr>
                <w:rFonts w:ascii="Times New Roman CYR" w:hAnsi="Times New Roman CYR" w:cs="Times New Roman CYR"/>
                <w:sz w:val="24"/>
                <w:szCs w:val="24"/>
              </w:rPr>
              <w:lastRenderedPageBreak/>
              <w:t>плану дiй для пiдвищення ефективностi роботи Наглядової ради, оскiльки це не є необхiдним.</w:t>
            </w:r>
          </w:p>
        </w:tc>
      </w:tr>
      <w:tr w:rsidR="00FA2051" w:rsidTr="00986E16">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Кожні три роки проводиться комплексна оцінка системи корпоративного управління із залученням незалежного зовнішнього експерта</w:t>
            </w:r>
          </w:p>
        </w:tc>
        <w:tc>
          <w:tcPr>
            <w:tcW w:w="15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Статутом та внутрiшнiми документами Товариства не передбачено проведення комплексної оцiнки системи корпоративного управлiння кожнi три роки, оскiльки це не є необхiдним.</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4. Рада</w:t>
      </w: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Персональний склад ради та її комітетів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1150"/>
        <w:gridCol w:w="1150"/>
        <w:gridCol w:w="1150"/>
        <w:gridCol w:w="1150"/>
        <w:gridCol w:w="1150"/>
        <w:gridCol w:w="1250"/>
      </w:tblGrid>
      <w:tr w:rsidR="00FA2051" w:rsidTr="00986E16">
        <w:tblPrEx>
          <w:tblCellMar>
            <w:top w:w="0" w:type="dxa"/>
            <w:bottom w:w="0" w:type="dxa"/>
          </w:tblCellMar>
        </w:tblPrEx>
        <w:trPr>
          <w:trHeight w:val="200"/>
        </w:trPr>
        <w:tc>
          <w:tcPr>
            <w:tcW w:w="3000" w:type="dxa"/>
            <w:vMerge w:val="restart"/>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Ім'я члена ради, строк повноважень у звітному періоді</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РНОКПП</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УНЗР</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заступник голови ради</w:t>
            </w:r>
          </w:p>
        </w:tc>
        <w:tc>
          <w:tcPr>
            <w:tcW w:w="3550" w:type="dxa"/>
            <w:gridSpan w:val="3"/>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ab/>
              <w:t>Голова / член комітету ради</w:t>
            </w:r>
          </w:p>
        </w:tc>
      </w:tr>
      <w:tr w:rsidR="00FA2051" w:rsidTr="00986E16">
        <w:tblPrEx>
          <w:tblCellMar>
            <w:top w:w="0" w:type="dxa"/>
            <w:bottom w:w="0" w:type="dxa"/>
          </w:tblCellMar>
        </w:tblPrEx>
        <w:trPr>
          <w:trHeight w:val="200"/>
        </w:trPr>
        <w:tc>
          <w:tcPr>
            <w:tcW w:w="3000" w:type="dxa"/>
            <w:vMerge/>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комітету - 1</w:t>
            </w:r>
          </w:p>
        </w:tc>
        <w:tc>
          <w:tcPr>
            <w:tcW w:w="11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комітету - 2</w:t>
            </w:r>
          </w:p>
        </w:tc>
        <w:tc>
          <w:tcPr>
            <w:tcW w:w="125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комітету - 3</w:t>
            </w:r>
          </w:p>
        </w:tc>
      </w:tr>
      <w:tr w:rsidR="00FA2051" w:rsidTr="00986E16">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w:t>
            </w:r>
          </w:p>
        </w:tc>
        <w:tc>
          <w:tcPr>
            <w:tcW w:w="11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1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r>
      <w:tr w:rsidR="00FA2051" w:rsidTr="00986E16">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Товт Наталiя Андрiйвна</w:t>
            </w:r>
          </w:p>
        </w:tc>
        <w:tc>
          <w:tcPr>
            <w:tcW w:w="11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Звіт ради</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Наглядова Рада не складала звiту про свою дiяльнiсть, зокрема, про оцiнку своєї дiяльностi, який мiстив всю вищезазначену iнформацiю, оскiльки Товариство є приватним акцiонерним товариством та вiдповiдно до ст.70 Закону України "Про акцiонернi товариства" не належить до виду товариств, для яких є обов'язковим складання такого звiту, який мiстив би всю вищезазначену iнформацiю. Звiт Наглядової ради про свою дiяльнiсть мав iншу структуру, до нього було включено окрему iнформацiю щодо поточної дiяльностi Товариства.</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Наглядова Рада Товариства  здiйснює управлiння Товариством, а також контролює та регулює дiяльнiсть виконавчого органу - Директора. В звiтному перiодi дiяльнiсть Наглядової ради спрямовувалась на забезпечення роботи Товариства пiд час воєнного стану, в умовах невизначеностi, нестабiльної роботи енергосистеми, низької платоспроможностi населення, у зв'язку з вiйськовою агресiєю росiйської федерацiї. У звiтному перiодi Наглядова рада не здiйснювала будь-яких заходiв, що мали суттєвий вплив на фiнансове становище Товариства. Вiйськовi  дiї суттєво впливало на економiчну ситуацiю в країнi, а наслiдки неможливо оцiнити з достатнiм рiвнем передбачуваностi, як для країни, так i для Товариства.</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Члени Наглядової ради цiлком компетентнi в питаннях, покладених на Наглядову раду в межах Статуту Товариства та Положення Про Наглядову Раду. Члени Наглядової ради незалежнi в прийняттi будь-яких рiшень. Наглядова рада не має комiтетiв. Наглядова рада повнiстю виконує свої обов'язки в межах Статуту Товариства та Положення Про Наглядову Раду. Наглядова рада має просту структуру без утворення комiтетiв. Рiшення приймаються на засiданнях Наглядової ради, якi скликаються по мiрi необхiдностi  i приймаються бiльшiстю голосiв членiв Наглядової ради.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одноосібний виконавчий орган та загальний опис прийнятих рішень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500"/>
        <w:gridCol w:w="6500"/>
      </w:tblGrid>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керівника, термін повноважень у звітному періоді</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Козун Володимир Iванович   з 27.04.2018р. термiн повноважень 5 рокiв.</w:t>
            </w: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 ключових рішень керівника</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Всi рiшення стосувалися поточної господарської дiяльностi Товариства. Ключовi рiшення стосовно управлiння Товариством не приймалися.</w:t>
            </w: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Ім'я заступника(ів) керівника, термін повноважень у звітному періоді</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Сфера відповідальності заступника керівника</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та посада особи, яка виконувала обов'язки керівника у звітному періоді, період протягом якого особа здійснювала виконання обов'язків керівника</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Звіт виконавчого органу</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Зазначається така iнформацiя:</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оцiнка складу, структури та дiяльностi виконавчого органу; Виконавчий орган одноосiбний  - директор, без  комiтетiв.</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оцiнка компетентностi та ефективностi керiвника та заступникiв керiвника/голови та членiв колегiального виконавчого органу, включаючи iнформацiю про його дiяльнiсть як посадової особи iнших юридичних осiб або iншу дiяльнiсть - оплачувану i безоплатну;</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Директор товариства компетентний в питаннях керiвництва Товариством, в вирiшеннi питань поточної дiяльностi товариства в межах Статуту Товариства та Положення Про директора Товариства.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оцiнка виконання виконавчим органом поставлених цiлей особи. В межах цього пункту зазначається iнформацiя щодо впливу рiшень, прийнятих виконавчих органом протягом звiтного перiоду, на досягнення поставлених перед особою стратегiчних цiлей. При цьому iнформацiя щодо стратегiчних цiлей особи має мiстити загальний опис таких стратегiчних цiлей i не потребує розкриття iнформацiї (показникiв), що, згiдно внутрiшнiх документiв особи належить до iнформацiї з обмеженим доступом (конфiденцiйної iнформацiї та комерцiйної таємницi);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Директор цiлком виконує поставленi зборами акцiонерiв цiлi Товариства. Директор володiє глибокими знаннями у сферi стратегiчного управлiння, Його досвiд включає багаторiчну роботу на керiвнiй посадi.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iнформацiя про те, яким чином дiяльнiсть виконавчого органу зумовила змiни у фiнансово-господарськiй дiяльностi особи</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Змiн у фiнансово-господарськiй дiяльностi  у звiтному роцi не було.</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звiтньому роцi дiяльнiсть товариства здiйснювалася в умовах тривалого воєнного стану та збереження суттєвих обмежень у господарськiй дiяльностi.  Рiшення, прийнятi протягом року, мали переважно оперативний i стабiлiзацiйний характер. </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iснуючих умовах господарювання в умовах воєнного стану, у зв'язку з вiйськовою агресiєю росiйської федерацiї проти України, неможливо впевнено робити навiть короткостроковi прогнози чи детальнi плани щодо дiяльностi пiдприємства.</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Окрема оцiнка дiяльностi виконавчого органу вiдсутня.</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7. Опис основних характеристик систем внутрішнього контролю особи, а також перелік структурних підрозділів особи, які здійснюють ключові обов'язки щодо забезпечення роботи систем внутрішнього контролю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500"/>
        <w:gridCol w:w="6500"/>
      </w:tblGrid>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Система внутрішнього контролю передбачає модель трьох ліній захисту</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Опис функцій підрозділів першої лінії захисту та перелік ключових підрозділів</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Товариством не створювались пiдроздiли першої лiнiї захисту.</w:t>
            </w: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підрозділів та опис функцій підрозділів другої лінії захисту</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Товариством не створювались пiдроздiли другої лiнiї захисту.</w:t>
            </w: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Перелік підрозділів та опис функцій підрозділів третьої лінії захисту</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Товариством не створювались пiдроздiли третьої лiнiї захисту</w:t>
            </w: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Наявність затвердженого документу (документів), який(які) визначає(ють) політику системи внутрішнього контролю (у тому числі щодо системи комплаєнс та внутрішнього аудиту)</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основних внутрішніх документів щодо системи внутрішнього контролю (у тому числі щодо системи комплаєнс та внутрішнього аудиту)</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Система внутрiшнього контролю i управлiння ризиками визначає всi внутрiшнi правила та процедури контролю, запровадженi керiвництвом Товариства для досягнення поставленої мети - забезпечення (в межах можливого) стабiльного i ефективного функцiонування Товариства, дотримання внутрiшньогосподарської полiтики, збереження та рацiонального використання активiв Товариства, запобiгання та викриття фальсифiкацiй та помилок, точностi i повноти бухгалтерських записiв, своєчасної пiдготовки надiйної фiнансової iнформацiї. Особами, вiдповiдальними за ведення бухгалтерського облiку Товариства є Директор та головний бухгалтер Товариства. Окремого Положення про "Системи внутрiшнього контролю" в Товариствi немає, оскiльки його обов'язкова наявнiсть не передбачена чинним законодавством.</w:t>
            </w: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та номер рішення про затвердження звіту щодо системи внутрішнього контролю (у тому числі комплаєнс-ризиків)</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х</w:t>
            </w: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положення звіту системи внутрішнього контролю (у тому числі комплаєнс-ризиків)</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У Товариствi не створена системи внутрiшнього контролю. Звiт системи внутрiшнього контролю не складався i не затверджувався.</w:t>
            </w: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Наявність затвердженої декларації схильності до ризиків</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Опис основних положень декларації схильності до ризиків</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Декларацiя схильностi до ризикiв вiдсутня.</w:t>
            </w: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Назва органу, який прийняв рішення про затвердження декларації схильності до ризиків</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Декларацiя схильностi до ризикiв вiдсутня.</w:t>
            </w:r>
          </w:p>
        </w:tc>
      </w:tr>
      <w:tr w:rsidR="00FA2051" w:rsidTr="00986E16">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та номер рішення про затвердження декларації схильності до ризиків</w:t>
            </w:r>
          </w:p>
        </w:tc>
        <w:tc>
          <w:tcPr>
            <w:tcW w:w="65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Х</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Частина 8. Інформація щодо осіб, які прямо або опосередковано є власниками значного пакета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1750"/>
        <w:gridCol w:w="1750"/>
        <w:gridCol w:w="1750"/>
        <w:gridCol w:w="1750"/>
      </w:tblGrid>
      <w:tr w:rsidR="00FA2051" w:rsidTr="00986E16">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Ім'я або повне найменування акціонера</w:t>
            </w:r>
          </w:p>
        </w:tc>
        <w:tc>
          <w:tcPr>
            <w:tcW w:w="17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РНОКПП</w:t>
            </w:r>
          </w:p>
        </w:tc>
        <w:tc>
          <w:tcPr>
            <w:tcW w:w="17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УНЗР</w:t>
            </w:r>
          </w:p>
        </w:tc>
        <w:tc>
          <w:tcPr>
            <w:tcW w:w="17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значного пакета акцій</w:t>
            </w:r>
          </w:p>
        </w:tc>
        <w:tc>
          <w:tcPr>
            <w:tcW w:w="175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пакета акцій, що знаходиться в прямому та (опосередкованому) володінні</w:t>
            </w:r>
          </w:p>
        </w:tc>
      </w:tr>
      <w:tr w:rsidR="00FA2051" w:rsidTr="00986E16">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w:t>
            </w:r>
          </w:p>
        </w:tc>
        <w:tc>
          <w:tcPr>
            <w:tcW w:w="17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16167177</w:t>
            </w:r>
          </w:p>
        </w:tc>
        <w:tc>
          <w:tcPr>
            <w:tcW w:w="175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16167177</w:t>
            </w:r>
          </w:p>
        </w:tc>
      </w:tr>
      <w:tr w:rsidR="00FA2051" w:rsidTr="00986E16">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Лакуста Ярослав Васильович</w:t>
            </w:r>
          </w:p>
        </w:tc>
        <w:tc>
          <w:tcPr>
            <w:tcW w:w="17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19163221</w:t>
            </w:r>
          </w:p>
        </w:tc>
        <w:tc>
          <w:tcPr>
            <w:tcW w:w="175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19163221</w:t>
            </w:r>
          </w:p>
        </w:tc>
      </w:tr>
      <w:tr w:rsidR="00FA2051" w:rsidTr="00986E16">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Ваган Крiстна Юлiївна</w:t>
            </w:r>
          </w:p>
        </w:tc>
        <w:tc>
          <w:tcPr>
            <w:tcW w:w="17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14203537</w:t>
            </w:r>
          </w:p>
        </w:tc>
        <w:tc>
          <w:tcPr>
            <w:tcW w:w="1750"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14203537</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2) звіт про сталий розвиток</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
        <w:gridCol w:w="4700"/>
        <w:gridCol w:w="5000"/>
      </w:tblGrid>
      <w:tr w:rsidR="00FA2051" w:rsidTr="00986E16">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9700" w:type="dxa"/>
            <w:gridSpan w:val="2"/>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Оцінка діяльності щодо захисту довкілля та соціальної відповідальності за звітний період:</w:t>
            </w:r>
          </w:p>
        </w:tc>
      </w:tr>
      <w:tr w:rsidR="00FA2051" w:rsidTr="00986E16">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w:t>
            </w:r>
          </w:p>
        </w:tc>
      </w:tr>
      <w:tr w:rsidR="00FA2051" w:rsidTr="00986E16">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9700" w:type="dxa"/>
            <w:gridSpan w:val="2"/>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ризики і виклики щодо захисту довкілля та соціальної відповідальності, плани щодо їх вирішення, а також їх вплив на досягнення стратегічних цілей:</w:t>
            </w:r>
          </w:p>
        </w:tc>
      </w:tr>
      <w:tr w:rsidR="00FA2051" w:rsidTr="00986E16">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Перелік ризиків щодо захисту довкілля та соціальної відповідальності, які мають вплив на особу:</w:t>
            </w:r>
          </w:p>
        </w:tc>
        <w:tc>
          <w:tcPr>
            <w:tcW w:w="5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не визначало ризкiв щодо захисту довкiлля та соцiальної вiдповiдальностi, якi мають вплив на Товариство.</w:t>
            </w:r>
          </w:p>
        </w:tc>
      </w:tr>
      <w:tr w:rsidR="00FA2051" w:rsidTr="00986E16">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Заходи, які планується здійснити / здійснюються для мінімізації/усунення кожного із ризиків:</w:t>
            </w:r>
          </w:p>
        </w:tc>
        <w:tc>
          <w:tcPr>
            <w:tcW w:w="5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FA2051" w:rsidTr="00986E16">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9700" w:type="dxa"/>
            <w:gridSpan w:val="2"/>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положення політики з питань захисту довкілля та соціальної відповідальності:</w:t>
            </w:r>
          </w:p>
        </w:tc>
      </w:tr>
      <w:tr w:rsidR="00FA2051" w:rsidTr="00986E16">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політик з питань захисту довкілля та соціальної відповідальності та опис питань, які такі політики покликані вирішити:</w:t>
            </w:r>
          </w:p>
        </w:tc>
        <w:tc>
          <w:tcPr>
            <w:tcW w:w="5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Полiтика з питань захисту довкiлля та соцiальної вiдповiдальностi вiдсутня.</w:t>
            </w:r>
          </w:p>
        </w:tc>
      </w:tr>
      <w:tr w:rsidR="00FA2051" w:rsidTr="00986E16">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9700" w:type="dxa"/>
            <w:gridSpan w:val="2"/>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питань та прийнятих рішень щодо захисту довкілля та соціальної відповідальності, які розглядались радою та виконавчим органом:</w:t>
            </w:r>
          </w:p>
        </w:tc>
      </w:tr>
      <w:tr w:rsidR="00FA2051" w:rsidTr="00986E16">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Перелік питань, які розглядались виконавчим органом та короткий зміст рішень, які було прийнято:</w:t>
            </w:r>
          </w:p>
        </w:tc>
        <w:tc>
          <w:tcPr>
            <w:tcW w:w="5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Питання щодо захисту довкiлля та соцiальної вiдповiдальностi не розглядалися</w:t>
            </w:r>
          </w:p>
        </w:tc>
      </w:tr>
      <w:tr w:rsidR="00FA2051" w:rsidTr="00986E16">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Перелік питань, які розглядались радою та короткий зміст рішень, які було прийнято:</w:t>
            </w:r>
          </w:p>
        </w:tc>
        <w:tc>
          <w:tcPr>
            <w:tcW w:w="5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FA2051" w:rsidTr="00986E16">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9700" w:type="dxa"/>
            <w:gridSpan w:val="2"/>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ключових стейкхолдерів, на яких має вплив діяльність особи із зазначенням обґрунтування в чому саме полягає такий вплив:</w:t>
            </w:r>
          </w:p>
        </w:tc>
      </w:tr>
      <w:tr w:rsidR="00FA2051" w:rsidTr="00986E16">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FA2051" w:rsidTr="00986E16">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9700" w:type="dxa"/>
            <w:gridSpan w:val="2"/>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стейкхолдерів, які мають вплив на досягнення особою стратегічних цілей із зазначенням обґрунтування в чому саме полягає такий вплив:</w:t>
            </w:r>
          </w:p>
        </w:tc>
      </w:tr>
      <w:tr w:rsidR="00FA2051" w:rsidTr="00986E16">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 Товариства, який володiє контрольним пакетом акцiй для прийняття рiшення на загальних зборах акцiонерiв.</w:t>
            </w:r>
          </w:p>
        </w:tc>
      </w:tr>
      <w:tr w:rsidR="00FA2051" w:rsidTr="00986E16">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9700" w:type="dxa"/>
            <w:gridSpan w:val="2"/>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положення політики щодо взаємодії зі стейкхолдерами, у тому числі акціонерами/учасниками:</w:t>
            </w:r>
          </w:p>
        </w:tc>
      </w:tr>
      <w:tr w:rsidR="00FA2051" w:rsidTr="00986E16">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Полiтика щодо взаємодiї зi стейкхолдерами вiдсутня.</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sectPr w:rsidR="00FA2051">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66"/>
        <w:gridCol w:w="1654"/>
        <w:gridCol w:w="1720"/>
      </w:tblGrid>
      <w:tr w:rsidR="00FA2051" w:rsidTr="00986E16">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FA2051" w:rsidTr="00986E16">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FA2051" w:rsidRDefault="00FA2051" w:rsidP="00986E16">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01.01.2023</w:t>
            </w:r>
          </w:p>
        </w:tc>
      </w:tr>
      <w:tr w:rsidR="00FA2051" w:rsidTr="00986E16">
        <w:tblPrEx>
          <w:tblCellMar>
            <w:top w:w="0" w:type="dxa"/>
            <w:bottom w:w="0" w:type="dxa"/>
          </w:tblCellMar>
        </w:tblPrEx>
        <w:trPr>
          <w:trHeight w:val="298"/>
        </w:trPr>
        <w:tc>
          <w:tcPr>
            <w:tcW w:w="2160" w:type="dxa"/>
            <w:tcBorders>
              <w:top w:val="nil"/>
              <w:left w:val="nil"/>
              <w:bottom w:val="nil"/>
              <w:right w:val="nil"/>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66" w:type="dxa"/>
            <w:tcBorders>
              <w:top w:val="nil"/>
              <w:left w:val="nil"/>
              <w:bottom w:val="nil"/>
              <w:right w:val="nil"/>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654" w:type="dxa"/>
            <w:tcBorders>
              <w:top w:val="nil"/>
              <w:left w:val="nil"/>
              <w:bottom w:val="nil"/>
              <w:right w:val="single" w:sz="6" w:space="0" w:color="auto"/>
            </w:tcBorders>
            <w:vAlign w:val="center"/>
          </w:tcPr>
          <w:p w:rsidR="00FA2051" w:rsidRDefault="00FA2051" w:rsidP="00986E16">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r w:rsidR="00FA2051" w:rsidTr="00986E16">
        <w:tblPrEx>
          <w:tblCellMar>
            <w:top w:w="0" w:type="dxa"/>
            <w:bottom w:w="0" w:type="dxa"/>
          </w:tblCellMar>
        </w:tblPrEx>
        <w:trPr>
          <w:trHeight w:val="298"/>
        </w:trPr>
        <w:tc>
          <w:tcPr>
            <w:tcW w:w="2160" w:type="dxa"/>
            <w:tcBorders>
              <w:top w:val="nil"/>
              <w:left w:val="nil"/>
              <w:bottom w:val="nil"/>
              <w:right w:val="nil"/>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Територія</w:t>
            </w:r>
          </w:p>
        </w:tc>
        <w:tc>
          <w:tcPr>
            <w:tcW w:w="4466" w:type="dxa"/>
            <w:tcBorders>
              <w:top w:val="nil"/>
              <w:left w:val="nil"/>
              <w:bottom w:val="nil"/>
              <w:right w:val="nil"/>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Закарпатська обл.</w:t>
            </w:r>
          </w:p>
        </w:tc>
        <w:tc>
          <w:tcPr>
            <w:tcW w:w="1654" w:type="dxa"/>
            <w:tcBorders>
              <w:top w:val="nil"/>
              <w:left w:val="nil"/>
              <w:bottom w:val="nil"/>
              <w:right w:val="single" w:sz="6" w:space="0" w:color="auto"/>
            </w:tcBorders>
            <w:vAlign w:val="center"/>
          </w:tcPr>
          <w:p w:rsidR="00FA2051" w:rsidRDefault="00FA2051" w:rsidP="00986E16">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КАТОТТГ</w:t>
            </w:r>
          </w:p>
        </w:tc>
        <w:tc>
          <w:tcPr>
            <w:tcW w:w="172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2110100000</w:t>
            </w:r>
          </w:p>
        </w:tc>
      </w:tr>
      <w:tr w:rsidR="00FA2051" w:rsidTr="00986E16">
        <w:tblPrEx>
          <w:tblCellMar>
            <w:top w:w="0" w:type="dxa"/>
            <w:bottom w:w="0" w:type="dxa"/>
          </w:tblCellMar>
        </w:tblPrEx>
        <w:trPr>
          <w:trHeight w:val="298"/>
        </w:trPr>
        <w:tc>
          <w:tcPr>
            <w:tcW w:w="2160" w:type="dxa"/>
            <w:tcBorders>
              <w:top w:val="nil"/>
              <w:left w:val="nil"/>
              <w:bottom w:val="nil"/>
              <w:right w:val="nil"/>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 господарювання</w:t>
            </w:r>
          </w:p>
        </w:tc>
        <w:tc>
          <w:tcPr>
            <w:tcW w:w="4466" w:type="dxa"/>
            <w:tcBorders>
              <w:top w:val="nil"/>
              <w:left w:val="nil"/>
              <w:bottom w:val="nil"/>
              <w:right w:val="nil"/>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Акціонерне товариство</w:t>
            </w:r>
          </w:p>
        </w:tc>
        <w:tc>
          <w:tcPr>
            <w:tcW w:w="1654" w:type="dxa"/>
            <w:tcBorders>
              <w:top w:val="nil"/>
              <w:left w:val="nil"/>
              <w:bottom w:val="nil"/>
              <w:right w:val="single" w:sz="6" w:space="0" w:color="auto"/>
            </w:tcBorders>
            <w:vAlign w:val="center"/>
          </w:tcPr>
          <w:p w:rsidR="00FA2051" w:rsidRDefault="00FA2051" w:rsidP="00986E16">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КОПФГ</w:t>
            </w:r>
          </w:p>
        </w:tc>
        <w:tc>
          <w:tcPr>
            <w:tcW w:w="172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w:t>
            </w:r>
          </w:p>
        </w:tc>
      </w:tr>
      <w:tr w:rsidR="00FA2051" w:rsidTr="00986E16">
        <w:tblPrEx>
          <w:tblCellMar>
            <w:top w:w="0" w:type="dxa"/>
            <w:bottom w:w="0" w:type="dxa"/>
          </w:tblCellMar>
        </w:tblPrEx>
        <w:trPr>
          <w:trHeight w:val="298"/>
        </w:trPr>
        <w:tc>
          <w:tcPr>
            <w:tcW w:w="2160" w:type="dxa"/>
            <w:tcBorders>
              <w:top w:val="nil"/>
              <w:left w:val="nil"/>
              <w:bottom w:val="nil"/>
              <w:right w:val="nil"/>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економічної діяльності</w:t>
            </w:r>
          </w:p>
        </w:tc>
        <w:tc>
          <w:tcPr>
            <w:tcW w:w="4466" w:type="dxa"/>
            <w:tcBorders>
              <w:top w:val="nil"/>
              <w:left w:val="nil"/>
              <w:bottom w:val="nil"/>
              <w:right w:val="nil"/>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Пасажирський наземний транспорт міського та приміського сполучення</w:t>
            </w:r>
          </w:p>
        </w:tc>
        <w:tc>
          <w:tcPr>
            <w:tcW w:w="1654" w:type="dxa"/>
            <w:tcBorders>
              <w:top w:val="nil"/>
              <w:left w:val="nil"/>
              <w:bottom w:val="nil"/>
              <w:right w:val="single" w:sz="6" w:space="0" w:color="auto"/>
            </w:tcBorders>
            <w:vAlign w:val="center"/>
          </w:tcPr>
          <w:p w:rsidR="00FA2051" w:rsidRDefault="00FA2051" w:rsidP="00986E16">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КВЕД</w:t>
            </w:r>
          </w:p>
        </w:tc>
        <w:tc>
          <w:tcPr>
            <w:tcW w:w="172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49.31</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Середня кількість працівників: </w:t>
      </w:r>
      <w:r>
        <w:rPr>
          <w:rFonts w:ascii="Times New Roman CYR" w:hAnsi="Times New Roman CYR" w:cs="Times New Roman CYR"/>
        </w:rPr>
        <w:t>154</w:t>
      </w:r>
    </w:p>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Адреса, телефон: </w:t>
      </w:r>
      <w:r>
        <w:rPr>
          <w:rFonts w:ascii="Times New Roman CYR" w:hAnsi="Times New Roman CYR" w:cs="Times New Roman CYR"/>
        </w:rPr>
        <w:t>88015 м.Ужгород, вул.Радiщева,2, 0505551165</w:t>
      </w:r>
    </w:p>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Одиниця виміру: </w:t>
      </w:r>
      <w:r>
        <w:rPr>
          <w:rFonts w:ascii="Times New Roman CYR" w:hAnsi="Times New Roman CYR" w:cs="Times New Roman CYR"/>
        </w:rPr>
        <w:t>тис.грн. без десяткового знака</w:t>
      </w:r>
    </w:p>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Складено </w:t>
      </w:r>
      <w:r>
        <w:rPr>
          <w:rFonts w:ascii="Times New Roman CYR" w:hAnsi="Times New Roman CYR" w:cs="Times New Roman CYR"/>
        </w:rPr>
        <w:t>(зробити позначку "v" у відповідній клітинці):</w:t>
      </w:r>
    </w:p>
    <w:tbl>
      <w:tblPr>
        <w:tblW w:w="0" w:type="auto"/>
        <w:tblInd w:w="108" w:type="dxa"/>
        <w:tblLayout w:type="fixed"/>
        <w:tblLook w:val="0000"/>
      </w:tblPr>
      <w:tblGrid>
        <w:gridCol w:w="8280"/>
        <w:gridCol w:w="1720"/>
      </w:tblGrid>
      <w:tr w:rsidR="00FA2051" w:rsidTr="00986E16">
        <w:tblPrEx>
          <w:tblCellMar>
            <w:top w:w="0" w:type="dxa"/>
            <w:bottom w:w="0" w:type="dxa"/>
          </w:tblCellMar>
        </w:tblPrEx>
        <w:trPr>
          <w:trHeight w:val="298"/>
        </w:trPr>
        <w:tc>
          <w:tcPr>
            <w:tcW w:w="8280" w:type="dxa"/>
            <w:vMerge w:val="restart"/>
            <w:tcBorders>
              <w:top w:val="nil"/>
              <w:left w:val="nil"/>
              <w:bottom w:val="nil"/>
              <w:right w:val="nil"/>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національними положеннями (стандартами) бухгалтерського обліку</w:t>
            </w:r>
          </w:p>
        </w:tc>
        <w:tc>
          <w:tcPr>
            <w:tcW w:w="172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v</w:t>
            </w:r>
          </w:p>
        </w:tc>
      </w:tr>
      <w:tr w:rsidR="00FA2051" w:rsidTr="00986E16">
        <w:tblPrEx>
          <w:tblCellMar>
            <w:top w:w="0" w:type="dxa"/>
            <w:bottom w:w="0" w:type="dxa"/>
          </w:tblCellMar>
        </w:tblPrEx>
        <w:trPr>
          <w:trHeight w:val="298"/>
        </w:trPr>
        <w:tc>
          <w:tcPr>
            <w:tcW w:w="8280" w:type="dxa"/>
            <w:vMerge w:val="restart"/>
            <w:tcBorders>
              <w:top w:val="nil"/>
              <w:left w:val="nil"/>
              <w:bottom w:val="nil"/>
              <w:right w:val="nil"/>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міжнародними стандартами фінансової звітності</w:t>
            </w:r>
          </w:p>
        </w:tc>
        <w:tc>
          <w:tcPr>
            <w:tcW w:w="172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Баланс</w:t>
      </w: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фінансовий стан)</w:t>
      </w: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sz w:val="24"/>
          <w:szCs w:val="24"/>
        </w:rPr>
        <w:t>на 31.12.2022 p.</w:t>
      </w: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№1</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524"/>
        <w:gridCol w:w="1205"/>
        <w:gridCol w:w="296"/>
        <w:gridCol w:w="1349"/>
      </w:tblGrid>
      <w:tr w:rsidR="00FA2051" w:rsidTr="00986E16">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FA2051" w:rsidRDefault="00FA2051" w:rsidP="00986E16">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1801001</w:t>
            </w:r>
          </w:p>
        </w:tc>
      </w:tr>
      <w:tr w:rsidR="00FA2051" w:rsidTr="00986E16">
        <w:tblPrEx>
          <w:tblCellMar>
            <w:top w:w="0" w:type="dxa"/>
            <w:bottom w:w="0" w:type="dxa"/>
          </w:tblCellMar>
        </w:tblPrEx>
        <w:trPr>
          <w:trHeight w:val="3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Актив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періоду</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 Необоротні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Нематеріальні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75</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75</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( 43 )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( 52 )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Незавершені капітальні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засоби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20 896</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19 593</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36 273</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36 191</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( 15 377 )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( 16 598 )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Інвестиційна нерухомість</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1 927</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1 664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5 276</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5 276</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( 3 349 )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( 3 612 )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які обліковуються за методом участі в капіталі інших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податкові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Гудвіл</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аквізиційні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у централізованих страхових резервних фондах</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необоротні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22 873</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21 298</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 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Запаси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215</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Виробничі запаси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215</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Незавершене виробництво</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Готова продукція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Депозити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Векселі одержані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продукцію,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1 008</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1 423</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розрахунками: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за виданими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629</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579</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125</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 нарахованих доходів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Інша поточна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133</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Гроші та їх еквіваленти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115</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Готівка</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Рахунки в банках</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Частка перестраховика у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 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збитків або резервах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328</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2 446</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3 041</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III. Необоротні активи, утримувані для продажу, та групи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25 319</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24 339</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FA2051" w:rsidTr="00986E16">
        <w:tblPrEx>
          <w:tblCellMar>
            <w:top w:w="0" w:type="dxa"/>
            <w:bottom w:w="0" w:type="dxa"/>
          </w:tblCellMar>
        </w:tblPrEx>
        <w:trPr>
          <w:trHeight w:val="529"/>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Пасив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періоду</w:t>
            </w: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 Власний капітал</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r>
      <w:tr w:rsidR="00FA2051" w:rsidTr="00986E16">
        <w:tblPrEx>
          <w:tblCellMar>
            <w:top w:w="0" w:type="dxa"/>
            <w:bottom w:w="0" w:type="dxa"/>
          </w:tblCellMar>
        </w:tblPrEx>
        <w:trPr>
          <w:trHeight w:val="205"/>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Зареєстрований (пайовий)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Внески до незареєстрованого статутного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1401</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Капітал у дооцінках</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11 842</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11 842</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Емісійний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1411</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1412</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-8 133</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-8 092</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Неоплачений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Вилучений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1430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1435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18 963</w:t>
            </w: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19 004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 Довгострокові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податкові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Пенсійні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1510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довгострокові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1515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Довгострокові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забезпечення витрат персоналу</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1521</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Цільове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Благодійна допомога</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1526</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1531</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збитків або резерв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1532</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1533</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 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1534</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Інвестиційні контракти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Призовий фонд</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 на виплату джек-поту</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IІІ. Поточні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Короткострокові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Векселі видані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Поточна кредиторська заборгованість за:</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довгостроковими зобов’язаннями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2 443</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2 054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798</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371</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1621</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зі 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541</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317</w:t>
            </w:r>
          </w:p>
        </w:tc>
      </w:tr>
      <w:tr w:rsidR="00FA2051" w:rsidTr="00986E16">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оплати праці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680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564</w:t>
            </w:r>
          </w:p>
        </w:tc>
      </w:tr>
      <w:tr w:rsidR="00FA2051" w:rsidTr="00986E16">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одержаними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w:t>
            </w:r>
          </w:p>
        </w:tc>
      </w:tr>
      <w:tr w:rsidR="00FA2051" w:rsidTr="00986E16">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учасниками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страховою діяльністю</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1650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987</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1 072</w:t>
            </w:r>
          </w:p>
        </w:tc>
      </w:tr>
      <w:tr w:rsidR="00FA2051" w:rsidTr="00986E16">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Доходи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комісійні доходи від перестраховиків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1670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поточні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878</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941</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IІІ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6 356</w:t>
            </w: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5 335</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ІV. Зобов’язання, пов’язані з необоротними активами, утримуваними для продажу, та групами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Чиста вартість активів недержавного пенсійного фонду</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25 319</w:t>
            </w: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24 339</w:t>
            </w:r>
          </w:p>
        </w:tc>
      </w:tr>
    </w:tbl>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Активи товариства у зiтньому роцi  зменшились на 4 вiдсотки</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sectPr w:rsidR="00FA2051">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66"/>
        <w:gridCol w:w="1654"/>
        <w:gridCol w:w="1720"/>
      </w:tblGrid>
      <w:tr w:rsidR="00FA2051" w:rsidTr="00986E16">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FA2051" w:rsidTr="00986E16">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FA2051" w:rsidRDefault="00FA2051" w:rsidP="00986E16">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01.01.2023</w:t>
            </w:r>
          </w:p>
        </w:tc>
      </w:tr>
      <w:tr w:rsidR="00FA2051" w:rsidTr="00986E16">
        <w:tblPrEx>
          <w:tblCellMar>
            <w:top w:w="0" w:type="dxa"/>
            <w:bottom w:w="0" w:type="dxa"/>
          </w:tblCellMar>
        </w:tblPrEx>
        <w:trPr>
          <w:trHeight w:val="298"/>
        </w:trPr>
        <w:tc>
          <w:tcPr>
            <w:tcW w:w="2160" w:type="dxa"/>
            <w:tcBorders>
              <w:top w:val="nil"/>
              <w:left w:val="nil"/>
              <w:bottom w:val="nil"/>
              <w:right w:val="nil"/>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66" w:type="dxa"/>
            <w:tcBorders>
              <w:top w:val="nil"/>
              <w:left w:val="nil"/>
              <w:bottom w:val="nil"/>
              <w:right w:val="nil"/>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654" w:type="dxa"/>
            <w:tcBorders>
              <w:top w:val="nil"/>
              <w:left w:val="nil"/>
              <w:bottom w:val="nil"/>
              <w:right w:val="single" w:sz="6" w:space="0" w:color="auto"/>
            </w:tcBorders>
            <w:vAlign w:val="center"/>
          </w:tcPr>
          <w:p w:rsidR="00FA2051" w:rsidRDefault="00FA2051" w:rsidP="00986E16">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фінансові результати</w:t>
      </w: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сукупний дохід)</w:t>
      </w: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2022 рік</w:t>
      </w: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№2</w:t>
      </w: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 Фінансові результати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524"/>
        <w:gridCol w:w="1205"/>
        <w:gridCol w:w="296"/>
        <w:gridCol w:w="1349"/>
      </w:tblGrid>
      <w:tr w:rsidR="00FA2051" w:rsidTr="00986E16">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FA2051" w:rsidRDefault="00FA2051" w:rsidP="00986E16">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1801003</w:t>
            </w:r>
          </w:p>
        </w:tc>
      </w:tr>
      <w:tr w:rsidR="00FA2051" w:rsidTr="00986E16">
        <w:tblPrEx>
          <w:tblCellMar>
            <w:top w:w="0" w:type="dxa"/>
            <w:bottom w:w="0" w:type="dxa"/>
          </w:tblCellMar>
        </w:tblPrEx>
        <w:trPr>
          <w:trHeight w:val="53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дохід від 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39 862</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26 011</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Чисті зароблені страхові премії</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Премії підписані,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Премії, передані у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резерву незароблених премій,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частки перестраховиків у резерві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Собівартість реалізованої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( 39 336 )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( 28 084 )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Чисті понесені збитки за страховими виплатами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Валовий:</w:t>
            </w:r>
          </w:p>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526</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( 2 073 )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(витрати) від зміни у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(витрати) від зміни інших страхових резервів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інших страхових резервів,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частки перестраховиків в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7 507</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9 724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використання коштів, вивільнених від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Адміністративні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( 3 506 )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( 4 577 )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на збут</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( 4 486 )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( 2 961 )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Фінансовий результат від операційної діяльності:</w:t>
            </w:r>
          </w:p>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фінансові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благодійної допомоги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Фінансові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Втрати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( 37 )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впливу інфляції на монетарні статті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Фінансовий результат до оподаткування:</w:t>
            </w:r>
          </w:p>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77</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(дохід)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припиненої діяльності після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фінансовий результат:</w:t>
            </w:r>
          </w:p>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71</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bl>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 Сукупний дохід</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FA2051" w:rsidTr="00986E16">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Дооцінка (уцінка)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1 434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Дооцінка (уцінка) фінансових інструментів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2410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Частка іншого сукупного доходу асоційованих та спільних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2415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2445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 до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1 434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Податок на прибуток, пов’язаний з іншим сукупним доходом</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2455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 після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1 434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Сукупний дохід (сума рядків 2350, 2355 та 2460)</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w:t>
            </w: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1 505</w:t>
            </w:r>
          </w:p>
        </w:tc>
      </w:tr>
    </w:tbl>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III. Елементи операційних витрат</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FA2051" w:rsidTr="00986E16">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Матеріальні затрати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29 683</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17 125</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на оплату праці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8 499</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10 568</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Відрахування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2 496</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2 810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1 653</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1 864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2520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4 929</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3 227</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Разом</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47 260</w:t>
            </w: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35 594</w:t>
            </w:r>
          </w:p>
        </w:tc>
      </w:tr>
    </w:tbl>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ІV. Розрахунок показників прибутковості акцій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FA2051" w:rsidTr="00986E16">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2600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Скоригована 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2605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2610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Скоригований 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2615</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Дивіденди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2650</w:t>
            </w:r>
          </w:p>
        </w:tc>
        <w:tc>
          <w:tcPr>
            <w:tcW w:w="1729"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w:t>
            </w:r>
          </w:p>
        </w:tc>
        <w:tc>
          <w:tcPr>
            <w:tcW w:w="1645" w:type="dxa"/>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w:t>
            </w:r>
          </w:p>
        </w:tc>
      </w:tr>
    </w:tbl>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Чистий прибуток складає 41.0 тис.грн.</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sectPr w:rsidR="00FA2051">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90"/>
        <w:gridCol w:w="1990"/>
        <w:gridCol w:w="1360"/>
      </w:tblGrid>
      <w:tr w:rsidR="00FA2051" w:rsidTr="00986E16">
        <w:tblPrEx>
          <w:tblCellMar>
            <w:top w:w="0" w:type="dxa"/>
            <w:bottom w:w="0" w:type="dxa"/>
          </w:tblCellMar>
        </w:tblPrEx>
        <w:trPr>
          <w:gridBefore w:val="3"/>
          <w:wBefore w:w="8640" w:type="dxa"/>
          <w:trHeight w:val="200"/>
        </w:trPr>
        <w:tc>
          <w:tcPr>
            <w:tcW w:w="13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FA2051" w:rsidTr="00986E16">
        <w:tblPrEx>
          <w:tblCellMar>
            <w:top w:w="0" w:type="dxa"/>
            <w:bottom w:w="0" w:type="dxa"/>
          </w:tblCellMar>
        </w:tblPrEx>
        <w:trPr>
          <w:gridBefore w:val="2"/>
          <w:wBefore w:w="6650" w:type="dxa"/>
          <w:trHeight w:val="200"/>
        </w:trPr>
        <w:tc>
          <w:tcPr>
            <w:tcW w:w="1990" w:type="dxa"/>
            <w:tcBorders>
              <w:top w:val="nil"/>
              <w:left w:val="nil"/>
              <w:bottom w:val="nil"/>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13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01.01.2023</w:t>
            </w:r>
          </w:p>
        </w:tc>
      </w:tr>
      <w:tr w:rsidR="00FA2051" w:rsidTr="00986E16">
        <w:tblPrEx>
          <w:tblCellMar>
            <w:top w:w="0" w:type="dxa"/>
            <w:bottom w:w="0" w:type="dxa"/>
          </w:tblCellMar>
        </w:tblPrEx>
        <w:tc>
          <w:tcPr>
            <w:tcW w:w="2160" w:type="dxa"/>
            <w:tcBorders>
              <w:top w:val="nil"/>
              <w:left w:val="nil"/>
              <w:bottom w:val="nil"/>
              <w:right w:val="nil"/>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90" w:type="dxa"/>
            <w:vMerge w:val="restart"/>
            <w:tcBorders>
              <w:top w:val="nil"/>
              <w:left w:val="nil"/>
              <w:bottom w:val="nil"/>
              <w:right w:val="nil"/>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990" w:type="dxa"/>
            <w:tcBorders>
              <w:top w:val="nil"/>
              <w:left w:val="nil"/>
              <w:bottom w:val="nil"/>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136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рух грошових коштів (за прямим методом)</w:t>
      </w: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2022 рік</w:t>
      </w: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№3</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874"/>
        <w:gridCol w:w="855"/>
        <w:gridCol w:w="645"/>
        <w:gridCol w:w="1000"/>
      </w:tblGrid>
      <w:tr w:rsidR="00FA2051" w:rsidTr="00986E16">
        <w:tblPrEx>
          <w:tblCellMar>
            <w:top w:w="0" w:type="dxa"/>
            <w:bottom w:w="0" w:type="dxa"/>
          </w:tblCellMar>
        </w:tblPrEx>
        <w:trPr>
          <w:gridBefore w:val="3"/>
          <w:wBefore w:w="7500" w:type="dxa"/>
          <w:trHeight w:val="280"/>
        </w:trPr>
        <w:tc>
          <w:tcPr>
            <w:tcW w:w="1500" w:type="dxa"/>
            <w:gridSpan w:val="2"/>
            <w:tcBorders>
              <w:top w:val="nil"/>
              <w:left w:val="nil"/>
              <w:bottom w:val="nil"/>
              <w:right w:val="single" w:sz="6" w:space="0" w:color="auto"/>
            </w:tcBorders>
            <w:vAlign w:val="center"/>
          </w:tcPr>
          <w:p w:rsidR="00FA2051" w:rsidRDefault="00FA2051" w:rsidP="00986E16">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00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right"/>
              <w:rPr>
                <w:rFonts w:ascii="Times New Roman CYR" w:hAnsi="Times New Roman CYR" w:cs="Times New Roman CYR"/>
              </w:rPr>
            </w:pPr>
          </w:p>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 Рух коштів у результаті операційної діяльності</w:t>
            </w:r>
          </w:p>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37 298</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27 854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Повернення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Цільового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6 767</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4 256</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отримання субсидій, дотацій</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6 767</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4 256</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авансів від покупців і замовників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відсотків за залишками коштів на поточних рахунках</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боржників неустойки (штрафів, пені)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операційної оренди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1 802</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1 915</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Надходження від отримання роялті, авторських винагород </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страхових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фінансових установ від повернення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233</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348</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Витрачання на оплату: </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( 31 766 )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( 18 367 )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Праці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( 7 047 )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( 8 397 )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Відрахувань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( 2 721 )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( 2 438 )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Зобов'язань з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( 3 822 )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( 4 936 )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( 287 )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( 2 383 )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інших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3118</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( 3 535 )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( 2 553 )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( 307 )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( 540 )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цільових внесків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за страховими контрактами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фінансових установ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витрачання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( 168 )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( 574 )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операційної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297</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-844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 Рух коштів у результаті інвестиційної діяльності</w:t>
            </w:r>
          </w:p>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реалізації:</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36</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отриманих:</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    відсотків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деривативів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вибуття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( 77 )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( 246 )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Виплати за деривативами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інвестиційної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-67</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III. Рух коштів у результаті фінансової діяльності</w:t>
            </w:r>
          </w:p>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Власного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Отримання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500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продажу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Викуп власних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( 605 )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Сплату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сплату відсотків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сплату заборгованості з фінансової оренди</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виплати неконтрольованим часткам у дочірніх підприємствах</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фінансової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за звітний період</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125</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-754</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на початок року</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115</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869</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Вплив зміни валютних курсів на залишок коштів</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на кінець року</w:t>
            </w:r>
          </w:p>
        </w:tc>
        <w:tc>
          <w:tcPr>
            <w:tcW w:w="776"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244</w:t>
            </w:r>
          </w:p>
        </w:tc>
        <w:tc>
          <w:tcPr>
            <w:tcW w:w="1645"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115</w:t>
            </w:r>
          </w:p>
        </w:tc>
      </w:tr>
    </w:tbl>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На кiнець року залишок коштiв 244 тис.грн.</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sectPr w:rsidR="00FA2051">
          <w:pgSz w:w="12240" w:h="15840"/>
          <w:pgMar w:top="570" w:right="720" w:bottom="570" w:left="720" w:header="708" w:footer="708" w:gutter="0"/>
          <w:cols w:space="720"/>
          <w:noEndnote/>
        </w:sectPr>
      </w:pPr>
    </w:p>
    <w:tbl>
      <w:tblPr>
        <w:tblW w:w="0" w:type="auto"/>
        <w:tblInd w:w="3168" w:type="dxa"/>
        <w:tblLayout w:type="fixed"/>
        <w:tblLook w:val="0000"/>
      </w:tblPr>
      <w:tblGrid>
        <w:gridCol w:w="2240"/>
        <w:gridCol w:w="5500"/>
        <w:gridCol w:w="1800"/>
        <w:gridCol w:w="2000"/>
      </w:tblGrid>
      <w:tr w:rsidR="00FA2051" w:rsidTr="00986E16">
        <w:tblPrEx>
          <w:tblCellMar>
            <w:top w:w="0" w:type="dxa"/>
            <w:bottom w:w="0" w:type="dxa"/>
          </w:tblCellMar>
        </w:tblPrEx>
        <w:trPr>
          <w:gridBefore w:val="3"/>
          <w:wBefore w:w="9540" w:type="dxa"/>
          <w:trHeight w:val="298"/>
        </w:trPr>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FA2051" w:rsidTr="00986E16">
        <w:tblPrEx>
          <w:tblCellMar>
            <w:top w:w="0" w:type="dxa"/>
            <w:bottom w:w="0" w:type="dxa"/>
          </w:tblCellMar>
        </w:tblPrEx>
        <w:trPr>
          <w:gridBefore w:val="2"/>
          <w:wBefore w:w="7740" w:type="dxa"/>
          <w:trHeight w:val="298"/>
        </w:trPr>
        <w:tc>
          <w:tcPr>
            <w:tcW w:w="1800" w:type="dxa"/>
            <w:tcBorders>
              <w:top w:val="nil"/>
              <w:left w:val="nil"/>
              <w:bottom w:val="nil"/>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01.01.2023</w:t>
            </w:r>
          </w:p>
        </w:tc>
      </w:tr>
      <w:tr w:rsidR="00FA2051" w:rsidTr="00986E16">
        <w:tblPrEx>
          <w:tblCellMar>
            <w:top w:w="0" w:type="dxa"/>
            <w:bottom w:w="0" w:type="dxa"/>
          </w:tblCellMar>
        </w:tblPrEx>
        <w:tc>
          <w:tcPr>
            <w:tcW w:w="2240" w:type="dxa"/>
            <w:tcBorders>
              <w:top w:val="nil"/>
              <w:left w:val="nil"/>
              <w:bottom w:val="nil"/>
              <w:right w:val="nil"/>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5500" w:type="dxa"/>
            <w:vMerge w:val="restart"/>
            <w:tcBorders>
              <w:top w:val="nil"/>
              <w:left w:val="nil"/>
              <w:bottom w:val="nil"/>
              <w:right w:val="nil"/>
            </w:tcBorders>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800" w:type="dxa"/>
            <w:tcBorders>
              <w:top w:val="nil"/>
              <w:left w:val="nil"/>
              <w:bottom w:val="nil"/>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2000" w:type="dxa"/>
            <w:tcBorders>
              <w:top w:val="single" w:sz="6" w:space="0" w:color="auto"/>
              <w:left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FA2051" w:rsidRDefault="00FA2051" w:rsidP="00FA2051">
      <w:pPr>
        <w:widowControl w:val="0"/>
        <w:autoSpaceDE w:val="0"/>
        <w:autoSpaceDN w:val="0"/>
        <w:adjustRightInd w:val="0"/>
        <w:spacing w:after="0" w:line="240" w:lineRule="auto"/>
        <w:rPr>
          <w:rFonts w:ascii="Times New Roman CYR" w:hAnsi="Times New Roman CYR" w:cs="Times New Roman CYR"/>
          <w:sz w:val="24"/>
          <w:szCs w:val="24"/>
        </w:rPr>
      </w:pP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власний капітал</w:t>
      </w: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2022 рік</w:t>
      </w:r>
    </w:p>
    <w:p w:rsidR="00FA2051" w:rsidRDefault="00FA2051" w:rsidP="00FA2051">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№4</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0"/>
        <w:gridCol w:w="1250"/>
        <w:gridCol w:w="1100"/>
        <w:gridCol w:w="1350"/>
        <w:gridCol w:w="1300"/>
        <w:gridCol w:w="1200"/>
        <w:gridCol w:w="1300"/>
        <w:gridCol w:w="950"/>
        <w:gridCol w:w="550"/>
        <w:gridCol w:w="1250"/>
        <w:gridCol w:w="50"/>
        <w:gridCol w:w="1250"/>
      </w:tblGrid>
      <w:tr w:rsidR="00FA2051" w:rsidTr="00986E16">
        <w:tblPrEx>
          <w:tblCellMar>
            <w:top w:w="0" w:type="dxa"/>
            <w:bottom w:w="0" w:type="dxa"/>
          </w:tblCellMar>
        </w:tblPrEx>
        <w:trPr>
          <w:gridBefore w:val="8"/>
          <w:wBefore w:w="11500" w:type="dxa"/>
          <w:trHeight w:val="280"/>
        </w:trPr>
        <w:tc>
          <w:tcPr>
            <w:tcW w:w="1800" w:type="dxa"/>
            <w:gridSpan w:val="2"/>
            <w:tcBorders>
              <w:top w:val="nil"/>
              <w:left w:val="nil"/>
              <w:bottom w:val="nil"/>
              <w:right w:val="single" w:sz="6" w:space="0" w:color="auto"/>
            </w:tcBorders>
            <w:vAlign w:val="center"/>
          </w:tcPr>
          <w:p w:rsidR="00FA2051" w:rsidRDefault="00FA2051" w:rsidP="00986E16">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00" w:type="dxa"/>
            <w:gridSpan w:val="2"/>
            <w:tcBorders>
              <w:top w:val="single" w:sz="6" w:space="0" w:color="auto"/>
              <w:left w:val="single" w:sz="6" w:space="0" w:color="auto"/>
              <w:bottom w:val="single" w:sz="6" w:space="0" w:color="auto"/>
            </w:tcBorders>
            <w:vAlign w:val="center"/>
          </w:tcPr>
          <w:p w:rsidR="00FA2051" w:rsidRDefault="00FA2051" w:rsidP="00986E16">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1801005</w:t>
            </w:r>
          </w:p>
        </w:tc>
      </w:tr>
      <w:tr w:rsidR="00FA2051" w:rsidTr="00986E16">
        <w:tblPrEx>
          <w:tblCellMar>
            <w:top w:w="0" w:type="dxa"/>
            <w:bottom w:w="0" w:type="dxa"/>
          </w:tblCellMar>
        </w:tblPrEx>
        <w:trPr>
          <w:trHeight w:val="530"/>
        </w:trPr>
        <w:tc>
          <w:tcPr>
            <w:tcW w:w="3050" w:type="dxa"/>
            <w:tcBorders>
              <w:top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1250"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100"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Зареєстрований капітал</w:t>
            </w:r>
          </w:p>
        </w:tc>
        <w:tc>
          <w:tcPr>
            <w:tcW w:w="1350"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Капітал у дооцінках</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Додатковий капітал</w:t>
            </w:r>
          </w:p>
        </w:tc>
        <w:tc>
          <w:tcPr>
            <w:tcW w:w="1200"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Резервний капітал</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Неоплачений капітал</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Вилучений капітал</w:t>
            </w:r>
          </w:p>
        </w:tc>
        <w:tc>
          <w:tcPr>
            <w:tcW w:w="1250" w:type="dxa"/>
            <w:tcBorders>
              <w:top w:val="single" w:sz="6" w:space="0" w:color="auto"/>
              <w:left w:val="single" w:sz="6" w:space="0" w:color="auto"/>
              <w:bottom w:val="single" w:sz="6" w:space="0" w:color="auto"/>
            </w:tcBorders>
            <w:shd w:val="clear" w:color="auto" w:fill="E6E6E6"/>
            <w:vAlign w:val="center"/>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Всього</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250" w:type="dxa"/>
            <w:tcBorders>
              <w:top w:val="single" w:sz="6" w:space="0" w:color="auto"/>
              <w:left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100" w:type="dxa"/>
            <w:tcBorders>
              <w:top w:val="single" w:sz="6" w:space="0" w:color="auto"/>
              <w:left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350" w:type="dxa"/>
            <w:tcBorders>
              <w:top w:val="single" w:sz="6" w:space="0" w:color="auto"/>
              <w:left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200" w:type="dxa"/>
            <w:tcBorders>
              <w:top w:val="single" w:sz="6" w:space="0" w:color="auto"/>
              <w:left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250" w:type="dxa"/>
            <w:tcBorders>
              <w:top w:val="single" w:sz="6" w:space="0" w:color="auto"/>
              <w:left w:val="single" w:sz="6" w:space="0" w:color="auto"/>
              <w:bottom w:val="single" w:sz="6" w:space="0" w:color="auto"/>
            </w:tcBorders>
            <w:shd w:val="clear" w:color="auto" w:fill="E6E6E6"/>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Залишок на початок року</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4000</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11 842</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-8 133</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18 963</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Коригування:</w:t>
            </w:r>
          </w:p>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облікової політики</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4005</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Виправлення помилок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4010</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зміни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4090</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Скоригований залишок на початок року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4095</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11 842</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-8 133</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18 963</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Чистий прибуток (збиток) за звітний період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4100</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Інший сукупний дохід за звітний період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4110</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Дооцінка (уцінка) необоротних активів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4111</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Дооцінка (уцінка) фінансових інструментів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4112</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Накопичені курсові різниці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4113</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Частка іншого сукупного доходу асоційованих і спільних підприємств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4114</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Інший сукупний дохід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4116</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Розподіл прибутку: </w:t>
            </w:r>
          </w:p>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Виплати власникам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4200</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Спрямування прибутку до зареєстрованого капіталу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4205</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Відрахування до резервного </w:t>
            </w:r>
            <w:r>
              <w:rPr>
                <w:rFonts w:ascii="Times New Roman CYR" w:hAnsi="Times New Roman CYR" w:cs="Times New Roman CYR"/>
              </w:rPr>
              <w:lastRenderedPageBreak/>
              <w:t xml:space="preserve">капіталу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4210</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Сума чистого прибутку, належна до бюджету відповідно до законодавства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4215</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 створення спеціальних (цільових) фондів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4220</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 матеріальне заохочення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4225</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Внески учасників: </w:t>
            </w:r>
          </w:p>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Внески до капіталу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4240</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Погашення заборгованості з капіталу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4245</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Вилучення капіталу: </w:t>
            </w:r>
          </w:p>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Викуп акцій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4260</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Перепродаж викуплених акцій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4265</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Анулювання викуплених акцій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4270</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Вилучення частки в капіталі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4275</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Зменшення номінальної вартості акцій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4280</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зміни в капіталі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4290</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Придбання (продаж) неконтрольованої частки в дочірньому підприємстві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4291</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Разом змін у капіталі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4295</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w:t>
            </w:r>
          </w:p>
        </w:tc>
      </w:tr>
      <w:tr w:rsidR="00FA2051" w:rsidTr="00986E16">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FA2051" w:rsidRDefault="00FA2051" w:rsidP="00986E1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Залишок на кінець року </w:t>
            </w:r>
          </w:p>
        </w:tc>
        <w:tc>
          <w:tcPr>
            <w:tcW w:w="12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4300</w:t>
            </w:r>
          </w:p>
        </w:tc>
        <w:tc>
          <w:tcPr>
            <w:tcW w:w="11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11 842</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-8 092</w:t>
            </w:r>
          </w:p>
        </w:tc>
        <w:tc>
          <w:tcPr>
            <w:tcW w:w="15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FA2051" w:rsidRDefault="00FA2051" w:rsidP="00986E1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19 004</w:t>
            </w:r>
          </w:p>
        </w:tc>
      </w:tr>
    </w:tbl>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непокритий збиток складає -8092 тис.грн.</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sectPr w:rsidR="00FA2051">
          <w:pgSz w:w="16838" w:h="11906" w:orient="landscape"/>
          <w:pgMar w:top="570" w:right="720" w:bottom="570" w:left="720" w:header="708" w:footer="708" w:gutter="0"/>
          <w:cols w:space="720"/>
          <w:noEndnote/>
        </w:sect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sectPr w:rsidR="00FA2051">
          <w:pgSz w:w="16838" w:h="11906" w:orient="landscape"/>
          <w:pgMar w:top="570" w:right="720" w:bottom="570" w:left="720" w:header="708" w:footer="708" w:gutter="0"/>
          <w:cols w:space="720"/>
          <w:noEndnote/>
        </w:sectPr>
      </w:pPr>
    </w:p>
    <w:p w:rsidR="00FA2051" w:rsidRDefault="00FA2051" w:rsidP="00FA2051">
      <w:pPr>
        <w:widowControl w:val="0"/>
        <w:autoSpaceDE w:val="0"/>
        <w:autoSpaceDN w:val="0"/>
        <w:adjustRightInd w:val="0"/>
        <w:spacing w:after="0" w:line="240" w:lineRule="auto"/>
        <w:jc w:val="both"/>
        <w:rPr>
          <w:rFonts w:ascii="Times New Roman CYR" w:hAnsi="Times New Roman CYR" w:cs="Times New Roman CYR"/>
        </w:rPr>
        <w:sectPr w:rsidR="00FA2051">
          <w:pgSz w:w="16838" w:h="11906" w:orient="landscape"/>
          <w:pgMar w:top="570" w:right="720" w:bottom="570" w:left="720" w:header="708" w:footer="708" w:gutter="0"/>
          <w:cols w:space="720"/>
          <w:noEndnote/>
        </w:sect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FA2051" w:rsidRDefault="00FA2051" w:rsidP="00FA2051">
      <w:pPr>
        <w:widowControl w:val="0"/>
        <w:autoSpaceDE w:val="0"/>
        <w:autoSpaceDN w:val="0"/>
        <w:adjustRightInd w:val="0"/>
        <w:spacing w:after="0" w:line="240" w:lineRule="auto"/>
        <w:rPr>
          <w:rFonts w:ascii="Times New Roman CYR" w:hAnsi="Times New Roman CYR" w:cs="Times New Roman CYR"/>
        </w:rPr>
      </w:pPr>
    </w:p>
    <w:p w:rsidR="00504E72" w:rsidRPr="00FA2051" w:rsidRDefault="00504E72" w:rsidP="00FA2051"/>
    <w:sectPr w:rsidR="00504E72" w:rsidRPr="00FA2051">
      <w:pgSz w:w="16838" w:h="11906" w:orient="landscape"/>
      <w:pgMar w:top="570" w:right="720" w:bottom="570" w:left="720" w:header="708" w:footer="708"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D2F88"/>
    <w:rsid w:val="000D0081"/>
    <w:rsid w:val="00125AC5"/>
    <w:rsid w:val="001D6BD5"/>
    <w:rsid w:val="001F2992"/>
    <w:rsid w:val="002C24BE"/>
    <w:rsid w:val="002C2C95"/>
    <w:rsid w:val="00316DED"/>
    <w:rsid w:val="00493AA6"/>
    <w:rsid w:val="004A7C4F"/>
    <w:rsid w:val="00504E72"/>
    <w:rsid w:val="005F3868"/>
    <w:rsid w:val="006A42D8"/>
    <w:rsid w:val="006E329B"/>
    <w:rsid w:val="00797DB3"/>
    <w:rsid w:val="007D2F88"/>
    <w:rsid w:val="008F43A2"/>
    <w:rsid w:val="00933160"/>
    <w:rsid w:val="00940B33"/>
    <w:rsid w:val="009A43FB"/>
    <w:rsid w:val="00AD1A90"/>
    <w:rsid w:val="00AF5179"/>
    <w:rsid w:val="00C321BA"/>
    <w:rsid w:val="00C5437F"/>
    <w:rsid w:val="00CD34E7"/>
    <w:rsid w:val="00E10FDA"/>
    <w:rsid w:val="00F82F06"/>
    <w:rsid w:val="00FA2051"/>
    <w:rsid w:val="00FD3E0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F88"/>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48</Pages>
  <Words>67454</Words>
  <Characters>38450</Characters>
  <Application>Microsoft Office Word</Application>
  <DocSecurity>0</DocSecurity>
  <Lines>320</Lines>
  <Paragraphs>211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105693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2026-05-06T14:35:00Z</dcterms:created>
  <dcterms:modified xsi:type="dcterms:W3CDTF">2026-05-24T13:01:00Z</dcterms:modified>
</cp:coreProperties>
</file>