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t>Титульний аркуш</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230"/>
      </w:tblGrid>
      <w:tr w:rsidR="00003DA6" w:rsidTr="0010026C">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22.05.2026</w:t>
            </w:r>
          </w:p>
        </w:tc>
      </w:tr>
      <w:tr w:rsidR="00003DA6" w:rsidTr="0010026C">
        <w:tblPrEx>
          <w:tblBorders>
            <w:bottom w:val="none" w:sz="0" w:space="0" w:color="auto"/>
          </w:tblBorders>
          <w:tblCellMar>
            <w:top w:w="0" w:type="dxa"/>
            <w:bottom w:w="0" w:type="dxa"/>
          </w:tblCellMar>
        </w:tblPrEx>
        <w:trPr>
          <w:trHeight w:val="300"/>
        </w:trPr>
        <w:tc>
          <w:tcPr>
            <w:tcW w:w="5230" w:type="dxa"/>
            <w:tcBorders>
              <w:top w:val="nil"/>
              <w:left w:val="nil"/>
              <w:bottom w:val="nil"/>
              <w:right w:val="nil"/>
            </w:tcBorders>
            <w:vAlign w:val="bottom"/>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реєстрації особою електронного документа)</w:t>
            </w:r>
          </w:p>
        </w:tc>
      </w:tr>
      <w:tr w:rsidR="00003DA6" w:rsidTr="0010026C">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r>
      <w:tr w:rsidR="00003DA6" w:rsidTr="0010026C">
        <w:tblPrEx>
          <w:tblCellMar>
            <w:top w:w="0" w:type="dxa"/>
            <w:bottom w:w="0" w:type="dxa"/>
          </w:tblCellMar>
        </w:tblPrEx>
        <w:trPr>
          <w:trHeight w:val="300"/>
        </w:trPr>
        <w:tc>
          <w:tcPr>
            <w:tcW w:w="5230" w:type="dxa"/>
            <w:tcBorders>
              <w:top w:val="nil"/>
              <w:left w:val="nil"/>
              <w:bottom w:val="nil"/>
              <w:right w:val="nil"/>
            </w:tcBorders>
            <w:vAlign w:val="bottom"/>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(вихідний реєстраційний номер електронного документа)</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0465"/>
      </w:tblGrid>
      <w:tr w:rsidR="00003DA6" w:rsidTr="0010026C">
        <w:tblPrEx>
          <w:tblCellMar>
            <w:top w:w="0" w:type="dxa"/>
            <w:bottom w:w="0" w:type="dxa"/>
          </w:tblCellMar>
        </w:tblPrEx>
        <w:trPr>
          <w:trHeight w:val="300"/>
        </w:trPr>
        <w:tc>
          <w:tcPr>
            <w:tcW w:w="10465" w:type="dxa"/>
            <w:tcBorders>
              <w:top w:val="nil"/>
              <w:left w:val="nil"/>
              <w:bottom w:val="nil"/>
              <w:right w:val="nil"/>
            </w:tcBorders>
            <w:vAlign w:val="bottom"/>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236"/>
        <w:gridCol w:w="3334"/>
        <w:gridCol w:w="236"/>
        <w:gridCol w:w="3284"/>
      </w:tblGrid>
      <w:tr w:rsidR="00003DA6" w:rsidTr="0010026C">
        <w:tblPrEx>
          <w:tblCellMar>
            <w:top w:w="0" w:type="dxa"/>
            <w:bottom w:w="0" w:type="dxa"/>
          </w:tblCellMar>
        </w:tblPrEx>
        <w:trPr>
          <w:trHeight w:val="200"/>
        </w:trPr>
        <w:tc>
          <w:tcPr>
            <w:tcW w:w="3415" w:type="dxa"/>
            <w:tcBorders>
              <w:top w:val="nil"/>
              <w:left w:val="nil"/>
              <w:bottom w:val="single" w:sz="6" w:space="0" w:color="auto"/>
              <w:right w:val="nil"/>
            </w:tcBorders>
            <w:vAlign w:val="bottom"/>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Директор</w:t>
            </w:r>
          </w:p>
        </w:tc>
        <w:tc>
          <w:tcPr>
            <w:tcW w:w="216" w:type="dxa"/>
            <w:tcBorders>
              <w:top w:val="nil"/>
              <w:left w:val="nil"/>
              <w:bottom w:val="nil"/>
              <w:right w:val="nil"/>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334" w:type="dxa"/>
            <w:tcBorders>
              <w:top w:val="nil"/>
              <w:left w:val="nil"/>
              <w:bottom w:val="single" w:sz="6" w:space="0" w:color="auto"/>
              <w:right w:val="nil"/>
            </w:tcBorders>
            <w:vAlign w:val="bottom"/>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6" w:type="dxa"/>
            <w:tcBorders>
              <w:top w:val="nil"/>
              <w:left w:val="nil"/>
              <w:bottom w:val="nil"/>
              <w:right w:val="nil"/>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284" w:type="dxa"/>
            <w:tcBorders>
              <w:top w:val="nil"/>
              <w:left w:val="nil"/>
              <w:bottom w:val="single" w:sz="6" w:space="0" w:color="auto"/>
              <w:right w:val="nil"/>
            </w:tcBorders>
            <w:vAlign w:val="bottom"/>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Козун Володимир Iванович</w:t>
            </w:r>
          </w:p>
        </w:tc>
      </w:tr>
      <w:tr w:rsidR="00003DA6" w:rsidTr="0010026C">
        <w:tblPrEx>
          <w:tblCellMar>
            <w:top w:w="0" w:type="dxa"/>
            <w:bottom w:w="0" w:type="dxa"/>
          </w:tblCellMar>
        </w:tblPrEx>
        <w:trPr>
          <w:trHeight w:val="200"/>
        </w:trPr>
        <w:tc>
          <w:tcPr>
            <w:tcW w:w="3415" w:type="dxa"/>
            <w:tcBorders>
              <w:top w:val="nil"/>
              <w:left w:val="nil"/>
              <w:bottom w:val="nil"/>
              <w:right w:val="nil"/>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6" w:type="dxa"/>
            <w:tcBorders>
              <w:top w:val="nil"/>
              <w:left w:val="nil"/>
              <w:bottom w:val="nil"/>
              <w:right w:val="nil"/>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334" w:type="dxa"/>
            <w:tcBorders>
              <w:top w:val="nil"/>
              <w:left w:val="nil"/>
              <w:bottom w:val="nil"/>
              <w:right w:val="nil"/>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(місце для накладання електронного підпису уповноваженої особи емітента/особи,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284" w:type="dxa"/>
            <w:tcBorders>
              <w:top w:val="nil"/>
              <w:left w:val="nil"/>
              <w:bottom w:val="nil"/>
              <w:right w:val="nil"/>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(прізвище та ініціали керівника або уповноваженої особи)</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0"/>
          <w:szCs w:val="20"/>
        </w:rPr>
      </w:pP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Річний звіт</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Акцiонерне товариство "Ужгородське автотранспортне пiдприємтсво 12107" (03114017)</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 2025 рік</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Рішення про затвердження річного звіту: 24.04.2026, за 2025 рiк (наказ директора)</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Особа, яка здійснює діяльність з оприлюднення регульованої інформації: </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здійснює подання звітності та/або звітних даних до Національної комісії з цінних паперів та фондового ринку: Державна установа "Агентство з розвитку iнфраструктури фондового ринку України", 21676262, Україна, DR/00002/ARM</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Дані про дату та місце оприлюднення річної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5165"/>
        <w:gridCol w:w="1885"/>
      </w:tblGrid>
      <w:tr w:rsidR="00003DA6" w:rsidTr="0010026C">
        <w:tblPrEx>
          <w:tblCellMar>
            <w:top w:w="0" w:type="dxa"/>
            <w:bottom w:w="0" w:type="dxa"/>
          </w:tblCellMar>
        </w:tblPrEx>
        <w:trPr>
          <w:trHeight w:val="300"/>
        </w:trPr>
        <w:tc>
          <w:tcPr>
            <w:tcW w:w="3415" w:type="dxa"/>
            <w:vMerge w:val="restart"/>
            <w:tcBorders>
              <w:top w:val="nil"/>
              <w:left w:val="nil"/>
              <w:bottom w:val="nil"/>
              <w:right w:val="nil"/>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Річну інформацію розміщено на власному вебсайті емітента</w:t>
            </w:r>
          </w:p>
        </w:tc>
        <w:tc>
          <w:tcPr>
            <w:tcW w:w="5165" w:type="dxa"/>
            <w:tcBorders>
              <w:top w:val="nil"/>
              <w:left w:val="nil"/>
              <w:bottom w:val="single" w:sz="6" w:space="0" w:color="auto"/>
              <w:right w:val="nil"/>
            </w:tcBorders>
            <w:vAlign w:val="bottom"/>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http://atp-12107.emitents.net.ua/ua/docs/?fg_id=100</w:t>
            </w:r>
          </w:p>
        </w:tc>
        <w:tc>
          <w:tcPr>
            <w:tcW w:w="1885" w:type="dxa"/>
            <w:tcBorders>
              <w:top w:val="nil"/>
              <w:left w:val="nil"/>
              <w:bottom w:val="single" w:sz="6" w:space="0" w:color="auto"/>
              <w:right w:val="nil"/>
            </w:tcBorders>
            <w:vAlign w:val="bottom"/>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24.05.2026</w:t>
            </w:r>
          </w:p>
        </w:tc>
      </w:tr>
      <w:tr w:rsidR="00003DA6" w:rsidTr="0010026C">
        <w:tblPrEx>
          <w:tblCellMar>
            <w:top w:w="0" w:type="dxa"/>
            <w:bottom w:w="0" w:type="dxa"/>
          </w:tblCellMar>
        </w:tblPrEx>
        <w:trPr>
          <w:trHeight w:val="300"/>
        </w:trPr>
        <w:tc>
          <w:tcPr>
            <w:tcW w:w="3415" w:type="dxa"/>
            <w:vMerge/>
            <w:tcBorders>
              <w:top w:val="nil"/>
              <w:left w:val="nil"/>
              <w:bottom w:val="nil"/>
              <w:right w:val="nil"/>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0"/>
                <w:szCs w:val="20"/>
              </w:rPr>
            </w:pPr>
          </w:p>
        </w:tc>
        <w:tc>
          <w:tcPr>
            <w:tcW w:w="5165" w:type="dxa"/>
            <w:tcBorders>
              <w:top w:val="nil"/>
              <w:left w:val="nil"/>
              <w:bottom w:val="nil"/>
              <w:right w:val="nil"/>
            </w:tcBorders>
            <w:vAlign w:val="bottom"/>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(URL-адреса вебсайту)</w:t>
            </w:r>
          </w:p>
        </w:tc>
        <w:tc>
          <w:tcPr>
            <w:tcW w:w="1885" w:type="dxa"/>
            <w:tcBorders>
              <w:top w:val="nil"/>
              <w:left w:val="nil"/>
              <w:bottom w:val="nil"/>
              <w:right w:val="nil"/>
            </w:tcBorders>
            <w:vAlign w:val="bottom"/>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0"/>
          <w:szCs w:val="20"/>
        </w:rPr>
        <w:sectPr w:rsidR="00003DA6">
          <w:pgSz w:w="12240" w:h="15840"/>
          <w:pgMar w:top="570" w:right="720" w:bottom="570" w:left="720" w:header="708" w:footer="708" w:gutter="0"/>
          <w:cols w:space="720"/>
          <w:noEndnote/>
        </w:sectPr>
      </w:pP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Пояснення щодо розкриття інформації</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Роздiл I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1.2." Iнформацiя щодо усiх випускiв цiнних паперiв, за якими надається забезпечення (якщо рiчний звiт подається особою, яка надає забезпечення (незалежно вiд того, чи є особа емiтентом)" не розкрита особою у складi рiчного звiту через те, що рiчний звiт подає емiтент.</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1.3 "Iнформацiя щодо всiх осiб, якi на дають забезпечення за його зобов'язаннями (якщо за зобов'язаннями емiтента надаються забезпечення)" не розкрита особою у складi рiчного звiту через те, що рiчний звiт подає емiтент.</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1.5. "Iнформацiя про рейтингове агентство" не розкрита особою у складi рiчного звiту через те, що за звiтний перiод емiтент не проводив рейтингову оцiнку свого кредитного рейтингу або його цiнних паперiв.</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1.6."Iнформацiя про судовi справи" не розкрита особою у складi рiчного звiту через те, що особа не мала судових справ , за якими розглядаються позовнi вимоги у розмiрi на суму 1 та бiльше вiдсоткiв активiв особи станом на початок звiтного року, стороною в яких виступає особа,  посадовi особи.</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2.3. "Iнформацiя про корпоративного секретаря" не заповнюється через вiдсутнiсть корпоративного секретаря у Товариствi.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2.5. Складова звiту "Органiзацiйна структура" - .Схематичне зображення органiзацiйної структури пiдприємства не розмiщується на вебсайтi, так як не вiдноситься до вiдкритої/публiчної iнформацiї.</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Структура власностi - розкриття структури власностi  вiдповiдно  Рiшення НКЦПФР №608 вiд 06.06.2024р. не передбачено:</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товариство, не  здiйснювало публiчну пропозицiю цiнних паперiв, та/або</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товариство, не є пiдприємством, що становить суспiльний iнтерес, та/або</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товариство не вiдноситься до  товариства у якого  100 вiдсоткiв акцiй прямо або опосередковано належить державi,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4.6. "Iнформацiя про обсяги виробництва та реалiзацiї основних видiв продукцiї" не заповнюється, оскiльки Товариство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4.7."Iнформацiя про собiвартiсть реалiзованої продукцiї" не заповнюється, оскiльки Товариство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5.Iнформацiя змiсту " Участь в iнших юридичних особах" не включена до складу рiчної iнформацiї, так як емiтент не бере участi в iнших юридичних особах.</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Iнформацiя про вiдокремленi пiдроздiли не заповненюється, адже вiдокремленi пiдроздiли в Товариствi вiдсутнi.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II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2.Змiна прав на акцiїї у звiтньому роцi не було.</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3.2.Iнформацiя "Про уточнення щодо наявностi обмежень на акцiї" , не заповнюється у звязку так як в емiтента немає обмежень по акцiям, крiм Згiдно з п. 10 роздiлу ХV Закону України "Про депозитарну систему України" тi акцiонери, якi не уклали з обраною емiтентом депозитарною установою договору про обслуговування рахунка в цiнних паперах вiд власного iменi або не здiйснили переказ належних йому прав на цiннi папери на свiй рахунок у цiнних паперах, вiдкритий в iншiй депозитарнiй установi, цiннi папери такого власника (якi дають право на участь в органах емiтента) не враховуються при визначеннi кворуму та при голосуваннi в органах емiтента та розкрито у п.3.12.</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3.3. Iнформацiя про облiгацiї емiтента не заповнюється у зв'язку з їх вiдсутнiстю.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3.4. Iнформацiя про iншi цiннi папери, випущенi емiтентом не заповнюється у зв'язку з їх вiдсутнiстю.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3.5. Iнформацiя про деривативнi цiннi папери не заповнюється у зв`яку з вiдсутнiстю їх випуску емiтентом.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3.6 Iнформацiя про забезпечення випуску боргових цiнних паперiв не заповнюється, оскiльки в емiтента вiдсутнi борговi цiннi папери i, вiдповiдно, їх забезпечення.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3.7 Звiт про стан об'єкта нерухомостi (у разi емiсiї цiльових корпоративних облiгацiй, виконання зобов'язань за якими здiйснюється шляхом об'єкта (частини об'єкта) житлового будiвництва) не заповнюється через вiдсутнiсть емiсiї емiтентом цiльових корпоративних облiгацiй.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3.8 Iнформацiя про придбання власних акцiй емiтентом протягом звiтного перiоду не заповнюється, оскiльки емiтент не здiйснював придбання власних акцiй протягом звiтного перiоду</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3.9 Iнформацiя про наявнiсть у власностi працiвникiв емiтента цiнних паперiв (крiм акцiй) такого емiтента не заповнюється тому, що емiтент не розмiщував iншi цiннi папери, крiм акцiй.</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3.10. Iнформацiя про наявнiсть у власностi працiвникiв емiтента акцiй у розмiрi понад 0,1 вiдсотка розмiру статутного капiталу такого емiтента не заповнюється у зв`яку з вiдсутнiстю у власностi працiвникiв емiтента акцiй у розмiрi понад 0,1 вiдсотка розмiру статутного капiталу.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3.11 Iнформацiя про будь-якi обмеження щодо обiгу цiнних паперiв особи, в тому числi необхiднiсть отримання вiд особи або iнших власникiв цiнних паперiв згоди на вiдчуження таких цiнних паперiв, оскiльки в емiтента вiдсутнi обмеження щодо обiгу цiнних паперiв.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4.2.Iнформацiя змiсту " Вiдомостi про змiну акцiонерiв, яким належать голосуючi акцiї, розмiр пакета яких стає бiльшим, меншим або рiвним пороговому значеню пакета акцiй" не включена до складу рiчної iнформацiї, так як в емiтента в звiтному роцi не було змiни таких акцiонерiв.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4.3. Iнформацiю про змiну осiб, яким належить право голосу за акцiями, сумарна кiлькiсть прав за якими стає бiльшою, меншою або дорiвнює пороговому значенню пакета акцiй  не включена до складу рiчної iнформацiї, так як в емiтента в звiтному роцi не було змiни таких осiб</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4.4. Iнформацiю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 не заповнюється за вiдсутнiстю таких змiн.</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III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2.Товариство подає лише рiчну (регулярну) iнформацiю емiтента (фiнансова звiтнiсть є невiдємною </w:t>
      </w:r>
      <w:r>
        <w:rPr>
          <w:rFonts w:ascii="Times New Roman CYR" w:hAnsi="Times New Roman CYR" w:cs="Times New Roman CYR"/>
          <w:sz w:val="24"/>
          <w:szCs w:val="24"/>
        </w:rPr>
        <w:lastRenderedPageBreak/>
        <w:t>частиною регулярної iнформацii емiтента)</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3.Iнформацiя змiсту " Аудиторський звiт до рiчної фiнансової звiтностi" не включена до складу рiчної iнформацiї, так як в звiтному роцi емiтент не проводив аудит рiчної фiнансової звiтностi, у зв'язку з вiдсутнiстю такого обов'язку.</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5.1.  Складова змiсту " Iнформацiя про прийняття рiшення про попереднє надання згоди на вчинення значних правочинiв" не включена до складу рiчної iнформацiї, так як в звiтному роцi емiтент не приймав такого рiшення.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5.2. Складова змiсту " Iнформацiя про вчинення значних правочинiв" не включена до складу рiчної iнформацiї, так як в звiтному роцi емiтент не вчиняв таких правочинiв.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 Складова змiсту " Iнформацiя про вчинення правочинiв, щодо вчинення яких є заiнтерисованiсть" не включена до складу рiчної iнформацiї, так як в звiтному роцi емiтент не вчиняв таких правочинiв.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6. Звiт про платежнi на користь держави не заповнюється, оскiльки емiтент не належить до суб'єктiв господарювання, якi вiдповiдно до вимог до вимог Положення про розкриття iнформацiї емiтентами цiнних паперiв, а також особами, якi надають забезпечення за такими цiнними паперами, затвердженого Рiшенням Нацiональної комiсiї з цiнних паперiв та фондового ринку вiд 06 червня 2023 року №608, зобов'язанi подавати таку iнформацiю.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IV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1.1.1.1Складова змiсту " Iнформацiя про кодекс копоративного управлiння, яким керується особа" не включена до складу рiчної iнформацiї, так як у емiтента вiдсутнiй кодекс корпоративного управлiння.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1.1.1.3. Структура управлiння в Товариствi  ОДНОРIВНЕВА.</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1.1.1.5.Складова змiсту " Iнформацiя про практику корпоративного управлiння особи. Рада директорiв" не включена до складу рiчної iнформацiї, так як в емiтента вiдсутня рада директорiв.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1.1.3. Iнформацiя про збори власникiв облiгацiй та загальний опис прийнятих на таких зборах рiшень не заповнюється, у зв'язку iз вiдсутнiстю облiгацiй емiтента.</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1.1.4.1.Згiдно нової редакцiї статуту Наглядова рада  не передбачена, члени наглядової ради не обираються.</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Позачерговi загальнi збори акцiонерiв, якi вiдбулись  28.08.2025 р. прийняли рiшення  про   змiну складу посадових осiб емiтента. Позачерговi загальнi збори проведено очно. Згiдно рiшення зборiв: у  зв'язку з закiнченням термiну повноважень припинено повноваження Голови Наглядової ради Шкрiбляк Андрiя Миколайовича. Члена  Наглядової ради Товт Наталiї Андрiївни.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1.1.4.3. Iнформацiя про проведенi засiдання комiтетiв ради та загальний опис прийнятих рiшень не заповнюється тому, що комiтети ради у Товариствi не створенi.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1.1.4.4.Згiдно нової редакцiї статуту Наглядова рада  не передбачена, .Позачерговi загальнi збори акцiонерiв, якi вiдбулись  28.08.2025 р. затверджено нову редакцiю Статуту , Згiдно нової редакцiї статуту Наглядова рада  не передбачена. Крiм того, Наглядова Рада не складала звiту про свою дiяльнiсть, зокрема, про оцiнку своєї дiяльностi, який мiстив всю вищезазначену iнформацiю, оскiльки Товариство є приватним акцiонерним товариством та вiдповiдно до ст.70 Закону України "Про акцiонернi товариства" не належить до виду товариств, для яких є обов'язковим складання такого звiту, який мiстив би всю вищезазначену iнформацiю. Звiт Наглядової ради про свою дiяльнiсть мав iншу структуру, до нього було включено окрему iнформацiю щодо поточної дiяльностi Товариства.</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1.1.5.1.Складова змiсту " Персональний склад колегiального виконавчого органу та його комiтетiв" не включена до складу рiчної iнформацiї, так як в емiтента вiдсутнiй колегiальний виконавчий орган.</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1.1.5.2. Складова змiсту " Iнформацiя про проведеннi засiдання колегiального виконавчого органу та загальних опис прийнятих рiшень" не включена до складу рiчної iнформацiї, так як в емiтента вiдсутнiй колегiальний виконавчий орган.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1.1.5.3.Складова змiсту " Iнформацiя про проведеннi засiдання комiтетiв колегiального виконавчого органу та загальних опис прийнятих рiшень" не включена до складу рiчної iнформацiї, так як в емiтента вiдсутнiй колегiальний виконавчий орган i його комiтети.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1.1.6. Iнформацiя про корпоративного секретаря, а також звiт щодо результатiв його дiяльностi не заповнювався тому що у Товариствi вiдсутнiй корпоративний секретар.</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1.1.9. Iнформацiя щодо будь-яких обмежень прав участi та голосування акцiонерiв (учасникiв) на загальних зборах , не заповнюється,  так як в емiтента вiдсутня iнформацiя щодо будь-яких обмежень прав участi та голосування акцiонерiв на загальних зборах.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1.1.10.Складова змiсту "Iнформацiя щодо порядку та звiльнення посадових осiб (крiм ради та виконавчого органу) особи", не включена до складу рiчної звiтностi, корпоративного секретаря у товариства не має, ншi посадовi особи емiтента призначаються та звiльняються наказом  директора. У разi звiльнення виплачується компенсацiя за невикористану вiдпустку. Згiдно вимог пункту 48 положення, приватними акцiонерними товариствами не розкривається iнформацiя про будь-якi винагороди або компенсацiї, якi мають бути виплаченi посадовим особам у разi їх звiльнення.</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1.1.11.Складова змiсту "Iнформацiя про винагороду членiв виконавчого органу та/або ради особи" не включена до складу рiчної iнформацiї, так як у звiтному роцi емiтент не виплачував винагороду членам виконавчого органу та/або ради.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Директор отримує з/пдату згiдно штатного розпису,  iншi винагороди, в тому числi  у натуральнiй формi винагороду не отримував.</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Члени наглядової ради,  винагороду за виконання обов'язкiв члена наглядової ради, в тому числi  у натуральнiй формi не отримували.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Посадовi особи не надали згоди на розкриття персональних данних.</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1.1.12.Складова змiсту "Iнформацiя про полiтику розкриття iнформацiї особою" не включена до складу рiчної iнформацiї, так як емiтент не затверджував полiтику розкриття iнформацi, iнформацiя розкривається у строки та обсязi встановленi законодавством i не виходить за межi законодавства i не суперечить йому. Внутрiшнього документа, який визначає полiтику щодо розкриття iнформацiї особою на товариствi не  затверджено.</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1.1.13. Складова змiсту "Iнформацiя про радника" не включена до складу рiчної iнформацiї, так як в емiтента вiдсутнi радники..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1.1.14.Складова змiсту "Iнформацiя вiд суб'єкта аудиторської дiяльностi з урахуванням вимог, пердбаченим пунктом 45 цього Положення" не включена до складу рiчної iнформацiї, так як емiтент у звiтному роцi не залучав суб'єкта аудиторської дiяльностi i не проводив аудит фiнансової звiтностi.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1.1.15.Складова змiсту " Iнформацiя, передбачена законодавством про дiяльнiсть та регулювання дiяльностi на ринку фiнансових послуг" не включена до складу рiчної iнформацiї, так як емiтент у звiтному роцi не надавав фiнансовi послуги на ринку.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1.3.1. Складова змiсту. "Iнформацiя про наявнiсть в структурi власностi емiтента фiзичних осiб якi мають громадянство iноземної держави зони ризику.  не включена до складу рiчної iнформацiї, так як   у  товариства немає фiзичних осiб якi мають громадянство iноземної держави зони ризику..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1.3.2. Складова змiсту "Iнформацiя щодо наявностi в структурi власностi емiтента фiзичних осiб, постiйним мiсцем проживання яких є iноземнi держави зони ризику" не включена до складу рiчної iнформацiї, так як в емiтента вiдсутня iнформацiя про наявнiсть таких осiб.</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1.3.3. Складова змiсту "Iнформацiя щодо наявностi в структурi власностi емiтента юридичних осiб, мiсцем реєстрацiї яких є iноземнi держави зони ризику" не включена до складу рiчної iнформацiї, так як в емiтента вiдсутня iнформацiя про наявнiсть таких осiб.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1.3.4. Складова змiсту "Перелiк засновникiв, учасникiв, що вiдносяться до iнформацiї щодо наявностi в структурi власностi емiтента юридичних осiб, мiсцем реєстрацiї яких є iноземнi держави зони ризику" не включена до складу рiчної iнформацiї, так як в емiтента вiдсутня iнформацiя про наявнiсть таких осiб.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1.3.5. Складова змiсту "Iнформацiя щодо наявностi в органах управлiння емiтента фiзичних осiб зякi мають громадянство  iноземної держави зони ризику, не включена до складу рiчної iнформацiї, так як в емiтента вiдсутня дiловi вiдносини з такими особами.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1.3.6. Складова змiсту. "Iнформацiя щодо наявностi у емiтента дiлових вiдносин з клiєнтами/контрагентами держави зони ризику або клiєнтами/контрагентами, якi контролюються державою зони ризику для клiєнтiв/контрагентiв - юридичних осiб" не включена до складу рiчної iнформацiї, так як в емiтента вiдсутня дiловi вiдносини з такими особами.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1.3.7.Складова змiсту " Iнформацiя щодо наявностi у емiтента дiлових вiдносин з клiєнтами/контрагентами держави зони ризику або клiєнтами/контрагентами, якi контролюються державою зони ризику для клiєнтiв/контрагентiв - фiхичних осiб" не включена до складу рiчної iнформацiї, так як в емiтента вiдсутня дiловi вiдносини з такими особами.</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1.3.8.Складова змiсту "Iнформацiя щодо розташування дочiрнiх компанiй/пiдприємств, фiлiй, представництв та/або iнших вiдокремлених структурних пiдроздiлiв емiтента на територiї держави зони ризику" не включена до складу рiчної iнформацiї, так як в емiтента вiдсутнi компанiї/пiдприємства, фiлiї, представництва та/або iнших вiдокремленi структурнi пiдроздiли емiтента на територiї держави зони ризику.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1.3.9.Складова змiсту " Iнформацiя щодо наявностi юридичних осiб, засновником, учасником, акцiонером яких є емiтент разом з особами, визначеними пiдпунктами 1-3 пункту 47 Положення" не включена до складу рiчної iнформацiї, так як емiтент не є засновником, учасником, акцiонером будь-яких юридичних осiб.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1.3.10. Складова змiсту " Перелiк засновникiв, акцiонерiв, учасникiв, що вiдносяться до iнформацiї щодо наявностi юридичних осiб, засновником, учасником, акцiонером яких є емiтент разом з особами, визначеними пiдпунктами 1-3 пункту 47 Положення" не включена до складу рiчної iнформацiї, так як емiтент не є засновником, учасником, акцiонером будь-яких юридичних осiб.</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1.3.11.  Складова змiсту " Iнформацiя щодо наявностi у емiтента корпоративних прав в юридичнiй особi, зареєстрованiй в iноземнiй державi зони ризику" не включена до складу рiчної iнформацiї, так як емiтент не має жодних корпоративних прав.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1.3.12. Складова змiсту " Iнформацiя щодо наявностi у емiтента цiнних паперiв (крiм акцiй) юридичної особи, яка зареєстрована в iноземнiй державi зони ризику" не включена до складу рiчної iнформацiї, так як емiтент не має жодних цiнних паперiв в тому числi i акцiй.</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2.1. Складова змiсту " Iнформацiя про корпоративнi/акцiонернi договори, укладенi акцiонерами (учасниками) особи, яка наявна в особи" не включена до складу рiчної iнформацiї, так як в емiтента вiдсутня iнформацiя про такi договори.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2.2.Складова змiсту " Iнформацiя про будь-якi договори та/або правочини, умовою чинностi яких є незмiннiсть осiб, якi здiйснюють контроль над емiтентом" не включена до складу рiчної iнформацiї, так як в емiтента вiдсутня iнформацiя про такi договори та/або правочини.</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2.3."Iнформацiя про будь-якi винагороди або компенсацiї, якi мають бути виплаченi посадовим особам емiтента в разi їх звiльнення" не розкрита особою у складi рiчного звiту , виплата винагород , в тому числi у натуральнiй формi , посадовим особам у разi iх звiльнення не передбачена. У разi звiльнення виплачується компенсацiя за невикористану вiдпустку.</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3.Складова змiсту " Дивiдентна полiтика" не включена до складу рiчної iнформацiї, так як емiтент не розробляв i не затверджував дивiдендну полiтику, виплата дивiдендiв здiйснюється в порядку встановленому законодавством  i не вiдрiзняється вiд законодавчо прийнятих норм.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4.Складова змiсту " Iнформацiя про виплату дивiдендiв та iнших доходiв за цiнними паперами у звiтному роцi" не включена до складу рiчної iнформацiї, так як емiтент у звiтному роцi дивiдендiв не виплачував.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5.Складова змiсту "Перелiк посилань на внутрiшнi документи особи , що розмiщенi на веб-сайтi особи", не включена до рiчної звiтностi емiтента, так як на веб.сайтi у звiтному роцi не розмiщались.Перелiк посилань на внутрiшнi документи товариства вiдсутнiй, оскiльки приватнi акцiонернi товариства не зобов'язанi розмiщувати таку iнформацiю на власному веб сайтi.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V .Складова змiсту "Роздiл V" не включена до складу рiчної iнформацiї, так як емiтент не випускав iпотечнi облiгацiї, сертифiкати ФОН, якi стосуються цього роздiлу.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Роздiл VII. Складова змiсту " Рiчна фiнансова звiтнiсть поручителя (страховика/гаранта), що здiйснює забезпечення випуску боргових цiнних паперiвi" не включена до складу рiчної iнформацiї, так як емiтент не є поручителем (страховиком/гарантом).Вiдомостi щодо пiдстав виникнення у емiтента iпотечних облiгацiй прав на iпотечнi активи, якi складають iпотечне покриття за станом на кiнець звiтного року</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25.11.2025р. Змiна адреси товариствпа:88000, Закарпатська обл., м.Ужгород, вул.Василя Гаджеги,2 - розмiщено на сайтi http://atp-12107.emitents.net.ua/ua/</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Зміст</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до річного звіту</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I. Загальна інформація</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Ідентифікаційні дані та загальна інформація</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Органи управління та посадові особи. Організаційна структура</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Опис господарської та фінансової діяльності</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II. Інформація щодо капіталу та цінних паперів</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Структура капіталу</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Цінні папери</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III. Фінансова інформація</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розмір доходу за видами діяльності особи</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Твердження щодо річної інформації</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IV. Нефінансова інформація</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Звіт керівництва (звіт про управління)</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звіт про корпоративне управління</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звіт про сталий розвиток</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VI. Список посилань на регульовану інформацію, яка була розкрита протягом звітного року</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sectPr w:rsidR="00003DA6">
          <w:pgSz w:w="12240" w:h="15840"/>
          <w:pgMar w:top="570" w:right="720" w:bottom="570" w:left="720" w:header="708" w:footer="708" w:gutter="0"/>
          <w:cols w:space="720"/>
          <w:noEndnote/>
        </w:sectPr>
      </w:pP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 Загальна інформація</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Ідентифікаційні дані та загальна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"Ужгородське автотранспортне пiдприємтсво 12107"</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Скорочене найменування</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АТ"Ужгородське АТП 12107"</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03114017</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державної реєстрації</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24.07.1998</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Місцезнаходження</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88015, Україна, Закарпатська обл., м.Ужгород, вул.Василя Гаджеги,2. Фактичне: 88015, Україна, Закарпатська обл., м.Ужгород, вул.Василя Гаджеги,2</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для листування</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Україна,  88015 м. Ужгород, вул.Василя Гаджеги,2</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розкриває інформацію</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Емітент</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Особа, яка надає забезпечення</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має статус підприємства, що становить суспільний інтерес</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Так</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Ні</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Категорія підприємства</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Велике</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Середнє</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Мале</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Мікро</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електронної пошти для офіційного каналу зв'язку</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atp-12107@ukr.net</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atp-12107.emitents.net.ua</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12</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Номер телефону</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0505551165</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13</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Статутний капітал, грн</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12963377</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14</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Відсоток акцій (часток/паїв) у статутному капіталі, що належить державі</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15</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16</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Середня кількість працівників за звітний період</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112</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17</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Витрати на оплату праці, тис. грн (для розрахунку фіктивності для суб'єктів малого підприємництва)</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18</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види діяльності із зазначенням їх найменування та коду за КВЕД</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49.31 - Пасажирський наземний транспорт мiського та примiського сполучення</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49,39 - Iнший пасажирський наземний транспорт</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68,20 - Надання в оренду й експлуатацiю власного чи орендованого нерухомого майна</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19</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Структура управління особи</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Однорівнева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Дворівнева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Інше</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Банки, що обслуговують особу: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 (в т.ч. філії, відділення банку)</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"Державний експортно-iмпортний банк України</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00032112</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IBAN</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UA623223130000026007000039703</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Валюта рахунку</w:t>
            </w:r>
          </w:p>
        </w:tc>
        <w:tc>
          <w:tcPr>
            <w:tcW w:w="646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гривня</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sectPr w:rsidR="00003DA6">
          <w:pgSz w:w="12240" w:h="15840"/>
          <w:pgMar w:top="570" w:right="720" w:bottom="570" w:left="720" w:header="708" w:footer="708" w:gutter="0"/>
          <w:cols w:space="720"/>
          <w:noEndnote/>
        </w:sect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Штрафні санкції щодо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200"/>
        <w:gridCol w:w="2200"/>
        <w:gridCol w:w="2200"/>
        <w:gridCol w:w="4400"/>
        <w:gridCol w:w="3850"/>
      </w:tblGrid>
      <w:tr w:rsidR="00003DA6" w:rsidTr="0010026C">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2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Номер та дата рішення, яким накладено штрафну санкцію</w:t>
            </w:r>
          </w:p>
        </w:tc>
        <w:tc>
          <w:tcPr>
            <w:tcW w:w="22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Орган, який наклав штрафну санкцію</w:t>
            </w:r>
          </w:p>
        </w:tc>
        <w:tc>
          <w:tcPr>
            <w:tcW w:w="22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Суть санкції (та її розмір, якщо застосовується)</w:t>
            </w:r>
          </w:p>
        </w:tc>
        <w:tc>
          <w:tcPr>
            <w:tcW w:w="4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Підстава для накладення санкції (з посиланням на відповідні норми законодавства)</w:t>
            </w:r>
          </w:p>
        </w:tc>
        <w:tc>
          <w:tcPr>
            <w:tcW w:w="385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Інформація про виконання</w:t>
            </w:r>
          </w:p>
        </w:tc>
      </w:tr>
      <w:tr w:rsidR="00003DA6" w:rsidTr="0010026C">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2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4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385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r>
      <w:tr w:rsidR="00003DA6" w:rsidTr="0010026C">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ПШ №044163</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30.01.2025</w:t>
            </w:r>
          </w:p>
        </w:tc>
        <w:tc>
          <w:tcPr>
            <w:tcW w:w="2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Управлiння Укртрансбезпеки в Закарпатськiй областi</w:t>
            </w:r>
          </w:p>
        </w:tc>
        <w:tc>
          <w:tcPr>
            <w:tcW w:w="2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Штраф в розмiрi 17000,00грн.</w:t>
            </w:r>
          </w:p>
        </w:tc>
        <w:tc>
          <w:tcPr>
            <w:tcW w:w="44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Адмiнiстративно-гос подарський штраф</w:t>
            </w:r>
          </w:p>
        </w:tc>
        <w:tc>
          <w:tcPr>
            <w:tcW w:w="38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Сплачено 28.03.2025р.</w:t>
            </w:r>
          </w:p>
        </w:tc>
      </w:tr>
      <w:tr w:rsidR="00003DA6" w:rsidTr="0010026C">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ОПШ№017842</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02.09.2025</w:t>
            </w:r>
          </w:p>
        </w:tc>
        <w:tc>
          <w:tcPr>
            <w:tcW w:w="2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Управлiння Укртрансбезпеки в Закарпатськiй областi</w:t>
            </w:r>
          </w:p>
        </w:tc>
        <w:tc>
          <w:tcPr>
            <w:tcW w:w="2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Штраф в розмiрi 17000,00грн</w:t>
            </w:r>
          </w:p>
        </w:tc>
        <w:tc>
          <w:tcPr>
            <w:tcW w:w="44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Адмiнiстративно-гос подарський штраф</w:t>
            </w:r>
          </w:p>
        </w:tc>
        <w:tc>
          <w:tcPr>
            <w:tcW w:w="38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Сплачено 15.09.2025р.</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0"/>
          <w:szCs w:val="20"/>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0"/>
          <w:szCs w:val="20"/>
        </w:rPr>
        <w:sectPr w:rsidR="00003DA6">
          <w:pgSz w:w="16837" w:h="11905" w:orient="landscape"/>
          <w:pgMar w:top="570" w:right="720" w:bottom="570" w:left="720" w:header="708" w:footer="708" w:gutter="0"/>
          <w:cols w:space="720"/>
          <w:noEndnote/>
        </w:sect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lastRenderedPageBreak/>
        <w:t>2. Органи управління та посадові особи. Організаційна структура</w:t>
      </w:r>
    </w:p>
    <w:p w:rsidR="00003DA6" w:rsidRDefault="00003DA6" w:rsidP="00003DA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Органи управління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1450"/>
        <w:gridCol w:w="4000"/>
        <w:gridCol w:w="4000"/>
      </w:tblGrid>
      <w:tr w:rsidR="00003DA6" w:rsidTr="0010026C">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14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органу управління (контролю)</w:t>
            </w:r>
          </w:p>
        </w:tc>
        <w:tc>
          <w:tcPr>
            <w:tcW w:w="4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Кількісний склад органу управління (контролю)</w:t>
            </w:r>
          </w:p>
        </w:tc>
        <w:tc>
          <w:tcPr>
            <w:tcW w:w="40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Персональний склад органу управління (контролю)</w:t>
            </w:r>
          </w:p>
        </w:tc>
      </w:tr>
      <w:tr w:rsidR="00003DA6" w:rsidTr="0010026C">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4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40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3DA6" w:rsidTr="0010026C">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Загальнi збори акцiонерiв</w:t>
            </w:r>
          </w:p>
        </w:tc>
        <w:tc>
          <w:tcPr>
            <w:tcW w:w="4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Вищий орган товариства</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Позачерговi загальнi збори акцiонерiв, якi вiдбулись  28.08.2025 р. прийняли рiшення  про   змiну складу посадових осiб емiтента. Позачерговi загальнi збори проведено очно. Згiдно рiшення зборiв: у  зв'язку з закiнченням термiну повноважень припинено повноваження Голови Наглядової ради Шкрiбляк Андрiя Миколайовича, Члена  Наглядової ради Товт Наталiї Андрiївни</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Згiдно нової редакцiї статуту Наглядова рада  не передбачена, члени наглядової ради не обираються.</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Акцiонери та їх представники</w:t>
            </w:r>
          </w:p>
        </w:tc>
      </w:tr>
      <w:tr w:rsidR="00003DA6" w:rsidTr="0010026C">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4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Виконавчий орган</w:t>
            </w:r>
          </w:p>
        </w:tc>
        <w:tc>
          <w:tcPr>
            <w:tcW w:w="4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Директор</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Козун Володимир Iванович</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rPr>
        <w:sectPr w:rsidR="00003DA6">
          <w:pgSz w:w="12240" w:h="15840"/>
          <w:pgMar w:top="570" w:right="720" w:bottom="570" w:left="720" w:header="708" w:footer="708" w:gutter="0"/>
          <w:cols w:space="720"/>
          <w:noEndnote/>
        </w:sect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Інформація щодо посадових осіб</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003DA6" w:rsidTr="0010026C">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003DA6" w:rsidTr="0010026C">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003DA6" w:rsidTr="0010026C">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21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Володимир Iванович</w:t>
            </w:r>
          </w:p>
        </w:tc>
        <w:tc>
          <w:tcPr>
            <w:tcW w:w="11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1960</w:t>
            </w:r>
          </w:p>
        </w:tc>
        <w:tc>
          <w:tcPr>
            <w:tcW w:w="1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Львiвський полiтехнiчний iнститут, iнженер</w:t>
            </w:r>
          </w:p>
        </w:tc>
        <w:tc>
          <w:tcPr>
            <w:tcW w:w="9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41</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АТ "Ужгородське АТП-12107"</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1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28.08.2025</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 рокiв</w:t>
            </w:r>
          </w:p>
        </w:tc>
        <w:tc>
          <w:tcPr>
            <w:tcW w:w="1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Інші посадові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003DA6" w:rsidTr="0010026C">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003DA6" w:rsidTr="0010026C">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003DA6" w:rsidTr="0010026C">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21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Лангазов Людмила Iванiвна</w:t>
            </w:r>
          </w:p>
        </w:tc>
        <w:tc>
          <w:tcPr>
            <w:tcW w:w="11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1962</w:t>
            </w:r>
          </w:p>
        </w:tc>
        <w:tc>
          <w:tcPr>
            <w:tcW w:w="1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УжДУ, економiчний факультет</w:t>
            </w:r>
          </w:p>
        </w:tc>
        <w:tc>
          <w:tcPr>
            <w:tcW w:w="9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45</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АТ "Ужгородське АТП-12107"</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1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02.02.1995</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необмежено</w:t>
            </w:r>
          </w:p>
        </w:tc>
        <w:tc>
          <w:tcPr>
            <w:tcW w:w="1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0"/>
          <w:szCs w:val="20"/>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щодо володіння посадовими особами акціями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450"/>
        <w:gridCol w:w="2500"/>
        <w:gridCol w:w="1625"/>
        <w:gridCol w:w="1625"/>
        <w:gridCol w:w="1625"/>
        <w:gridCol w:w="1625"/>
        <w:gridCol w:w="1700"/>
        <w:gridCol w:w="1700"/>
      </w:tblGrid>
      <w:tr w:rsidR="00003DA6" w:rsidTr="0010026C">
        <w:tblPrEx>
          <w:tblCellMar>
            <w:top w:w="0" w:type="dxa"/>
            <w:bottom w:w="0" w:type="dxa"/>
          </w:tblCellMar>
        </w:tblPrEx>
        <w:trPr>
          <w:trHeight w:val="300"/>
        </w:trPr>
        <w:tc>
          <w:tcPr>
            <w:tcW w:w="550" w:type="dxa"/>
            <w:vMerge w:val="restart"/>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450" w:type="dxa"/>
            <w:vMerge w:val="restart"/>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500" w:type="dxa"/>
            <w:vMerge w:val="restart"/>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Кількість акцій, шт.</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Від загальної кількості акцій (у відсотках)</w:t>
            </w:r>
          </w:p>
        </w:tc>
        <w:tc>
          <w:tcPr>
            <w:tcW w:w="3400"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Кількість за типами акцій</w:t>
            </w:r>
          </w:p>
        </w:tc>
      </w:tr>
      <w:tr w:rsidR="00003DA6" w:rsidTr="0010026C">
        <w:tblPrEx>
          <w:tblCellMar>
            <w:top w:w="0" w:type="dxa"/>
            <w:bottom w:w="0" w:type="dxa"/>
          </w:tblCellMar>
        </w:tblPrEx>
        <w:trPr>
          <w:trHeight w:val="300"/>
        </w:trPr>
        <w:tc>
          <w:tcPr>
            <w:tcW w:w="550" w:type="dxa"/>
            <w:vMerge/>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450" w:type="dxa"/>
            <w:vMerge/>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500" w:type="dxa"/>
            <w:vMerge/>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7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прості іменні</w:t>
            </w:r>
          </w:p>
        </w:tc>
        <w:tc>
          <w:tcPr>
            <w:tcW w:w="17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привілейовані іменні</w:t>
            </w:r>
          </w:p>
        </w:tc>
      </w:tr>
      <w:tr w:rsidR="00003DA6" w:rsidTr="0010026C">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625"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1625"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625"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625"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17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17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r>
      <w:tr w:rsidR="00003DA6" w:rsidTr="0010026C">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2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Володимир Iванович</w:t>
            </w:r>
          </w:p>
        </w:tc>
        <w:tc>
          <w:tcPr>
            <w:tcW w:w="1625"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003DA6" w:rsidTr="0010026C">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4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2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Лангазов Людмила Iванiвна</w:t>
            </w:r>
          </w:p>
        </w:tc>
        <w:tc>
          <w:tcPr>
            <w:tcW w:w="1625"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0"/>
          <w:szCs w:val="20"/>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0"/>
          <w:szCs w:val="20"/>
        </w:rPr>
        <w:sectPr w:rsidR="00003DA6">
          <w:pgSz w:w="16837" w:h="11905" w:orient="landscape"/>
          <w:pgMar w:top="570" w:right="720" w:bottom="570" w:left="720" w:header="708" w:footer="708" w:gutter="0"/>
          <w:cols w:space="720"/>
          <w:noEndnote/>
        </w:sect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lastRenderedPageBreak/>
        <w:t>4. Опис господарської та фінансової діяльності</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1.Належнiсть особи до будь-яких об'єднань пiдприємств, повне найменування та мiсцезнаходження об'єднання, опис дiяльностi об'єднання, строк участi особи у вiдповiдному об'єднаннi, роль особи в об'єднаннi, посилання на вебсайт об'єднання.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Пiдприємство входить в громадське об'єднання автоперевiзникiв - Асоцiацiю "Закарпатавтотранс", яка знаходиться в м.Ужгород, вул.Капушанська,102. Асоцiацiя пердставляє iнтереси автоперевiзникiв в органах виконавчої влади, координує роботу порозробцi та затвердження тарифiв на автоперевезення, захищає iнтереси автоперевiзникiв по рiзних питаннях.</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2.Спiльна дiяльнiсть, яку особа проводить з iншими органiзацiями, пiдприємствами, установами, при цьому зазначаються сума вкладiв, мета вкладiв (отримання прибутку, iншi цiлi) та отриманий фiнансовий результат за звiтний рiк з кожного виду спiльної дiяльностi. Емiтент не проводить спiльну дiяльнiсть з iншими органiзацiями, пiдприємствами, установами.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3.Опис обраної облiкової полiтики (метод нарахування амортизацiї, метод оцiнки вартостi запасiв, метод облiку та оцiнки вартостi фiнансових iнвестицiй тощо).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Бухгалтерський облiк на  пiдприємствi вiвся в вiдповiдностi з вимогами Нацiональних стандартiв БО ( якi не суперечать вимогам МСФЗ).</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Визначення та амортизацiя основних фондiв та нематерiальних активiв.</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 використовує метод оцiнки основних засобiв (крiм земельних дiлянок) по iсторичнiй собiвартостi. Товариство визнає матерiальний об'єкт основним засобом, якщо вiн утримується з метою використання їх у процесi своєї дiяльностi, надання послуг, або для здiйснення адмiнiстративних i соцiально-культурних функцiй, очiкуваний строк корисного використання (експлуатацiї) яких бiльше одного року та вартiсть яких бiльше 20000 грн. Земельнi дiлянки враховуються по переоцiненiй вартостi. Регулярнiсть переоцiнки залежить вiд змiни справедливої вартостi активiв, якi переоцiнюються.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 протязi  звiтнього року  переоцiнка вартостi земельних дiлянок не проводилась через вiдсутнiсть суттєвих причин для її проведення. Амортизацiя основних засобiв призначена для списання суми, що амортизується, впродовж термiну корисного використання активу i розраховується з використанням прямолiнiйного методу. Лiквiдацiйна вартiсть, термiни корисного використання i метод нарахування амортизацiї передивляються на кiнець кожного фiнансового року. Вплив будь-яких змiн, що виникають вiд оцiнок, зроблених в попереднi перiоди, враховується як змiна облiкової оцiнки. Iнвестицiйна  нерухомiсть первiсно оцiнюється за собiвартiстю, включаючи витрати на операцiю. Оцiнка пiсля визнання здiйснюється на основi моделi iсторичної собiвартостi. Нематерiальнi активи зкiнцевими термiнами використання, придбанi в рамках окремих операцiй, враховуються за вартiстю придбання за вирахуванням накопиченої амортизацiї i накопиченого збитку вiд знецiнення. Амортизацiя нараховується рiвномiрно протягом термiну корисного використання нематерiальних активiв. Очiкуванi термiни корисного використання i метод нарахування амортизацiї аналiзуються на кiнець кожного звiтного перiоду. Нематерiальнi активи, якi виникають в результатi договiрних або iнших юридичних прав, амортизуються протягом термiну чинностi цих прав.</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Запаси.</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Одиницею запасiв для цiлей бухгалтерського облiку прийнято вид запасiв.Запаси вiдображаються за найменшою з двох величин: собiвартостi або чистої вартостi реалiзацiї.Оцiнка запасiв при вiдпуску у виробництво здiйснюється за методом iдентифiкованої собiвартостi, а пального - за методом середньозваженої собiвартостi. Середньозважена собiвартiсть одиницi запасiв (паливно-мастильних матерiалiв) розраховується один раз на мiсяць. В зв'язку з тим, що майже всi запаси використовуються для здiйснення автоперевезень i знаходяться на складi незначний час, пiдприємство не проводить їх переоцiнки.Незавершеного виробництва на пiдприємствi немає. До малоцiнних необоротнiх активiв вiдносяться активи з термiном корисного використання бiльше одного року та вартiстю менше 20000грн. Амортизацiя по таких активах нараховується впершому мiсяцi використання об'єктiв у розмiрi 100 вiдсоткiв їх вартостi.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Визначення грошових коштiв.</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Грошовi кошти включають суму грошей в касi пiдприємства та на рахунках в банку. Суми в iноземних валютах перерахованi по курсу НБУ на момент складання звiту. Пiдприємство має валютнi рахунки в доларах США та Євро для розрахункiв з iноземними партнерами.</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Дебiторська заборгованiсть.</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Дебiторська заборгованiсть , визнається як фiнансовi активи та первiсно оцiнюються за справедливою вартiстю плюс вiдповiднi витрати на проведення операцiй. Вона включає в себе заборгованiсть за наданi та не оплаченi транспортнi послуги по замовленнях, поточну заборгованiсть за реалiзованi квитки автобусних станцiй та орендну плату за наданi в оренду основнi засоби. Якщо є об'єктивне свiдчення того, що вiдбувся збиток вiд зменшення корисностi, балансова вартiсть активу зменшується на суму таких збиткiв iз застосуванням  рахунку резервiв. На Товариствi резерви створюються на основi iндивiдуальної оцiнки окремих дебiторiв.Резерв на покриття збиткiв вiд зменшення корисностi фiнансоваого активу визначається як рiзниця мiж балансовою вартiстю та теперiшньою вартiстю очiкуваних майбутнiх грошових потокiв.</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Кредиторська заборгованiсть.</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Кредиторська заборгованiсть складається в основному за отриманi вiд постачальникiв та вчасно не оплаченi пальне, запчастини та iншi витратнi матерiали, а також iз поточної заборгованостi перед працiвниками по оплатi працi, та по сплатi поточних платежiв i податкiв в бюджет та соцiальнi фонди. Нереальної та простроченої заборгованостi по пiдприємству немає.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Визнання доходу.</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Доходи вiд поточної дiяльностi Товариства складаються з доходiв вiд надання рiзного виду послуг. Їх величина визнається в розмiрi справедливої вартостi винагороди, отриманої або яка пiдлягає отриманню, i являє собою суми до отримання за послуги, наданi в ходi звичайної господарської дiяльностi, за вирахуванням податку на додану вартiсть (ПДВ). Дохiд вiд надання автотранспортних послуг визнається по моменту фактичного виконання послуг за встановленими тарифами ( по маршрутних перевезеннях- на дату реалiзацiї квиткiв на перевезення пасажирiв , по перевезеннях на замовлення юридичних та фiзичних осiб - на дату фактичного виконання замовлення та пiдприсання актiв виконаних робiт). Доходи вiд здачi в оренду майна, надання послуг з передрейсових медоглядiв водiїв та техоглядiв автотранспорту, стоянки автобусiв- визнаються з моменту пiдписання актiв приймання - передачi на виконанi послуги. Iншi доходи (по авторечовому ринку i iн.) , а також отриманi на протязi року бюджетнi субвенцiї на покриття збиткiв вiд перевезення пiльгових категорiй населення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визнаються по моменту отримання коштiв на поточнi рахунки в банку та в касу пiдприємства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4.Опис обраної полiтики щодо фiнансування дiяльностi особи, достатнiсть робочого капiталу для поточних потреб, можливi шляхи покращення лiквiдностi. Товариство не вдається до залучення зовнiшнiх iнвестицiй, а нерозподiлений прибуток, спрямовує на розвиток Товариства i фiнансування його дiяльностi.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 Опис полiтики щодо дослiджень та розробок, сума витрат на дослiдження та розробку за звiтний рiк. Товариство в Українi не веде дiяльностi у сферi дослiджень та розробок.</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Iнформацiя щодо продуктiв (товарiв або послуг) особи. Основний дохiд пiдприємство отримує вiд пасажирських автоперевезень. Частка чистого доходу вiд надання послуг з пасажирських автоперевезень в складi всiх наданих послуг становить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2019р. -32877.0 тис.грн.</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2020р.- 16659.0 тис.грн.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2021р - 16589.0 тис.грн.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2022р. - 29454.0 тис.грн.</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2023р.- 35656.0 тис.грн.</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2024р.- 33652.0 тис.грн.</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2025р.- 36538.0 тис.грн.</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Перспективами для збiльшення доходiв та розвитку пiдприємства є розвиток мiжмiських та мiжнародних, в тому числi туристичних перевезень; розвиток мiських та примiських перевезень пасажирiв автобусами великої мiсткостi; введення нового сервiсного обслуговування приватного автотранспорту та розширення послуг по передрейсовому обслуговуваннi та технiчних оглядах автотранспорту iнших перевiзникiв; проведення дiагностики транспортних засобiв; розширення спектру послуг на ринку.</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7. У разi якщо, особа є фiнансовою установою, то вказується iнформацiя передбачена пунктами 1 (в тому числi перелiк банкiвських та фiнансових послуг, якi фактично надавались такою фiнансовою установою протягом звiтного перiоду),Товариство не є фiнансовою установою.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8. Опис ризикiв, як притаманнi дiяльностi особи, пiдходи до управлiння ризиками, заходи особи щодо зменшення впливу ризикiв. Основними ризиками в дiяльностi пiдприємства є нестабiльнiсть економiчної ситуацiї в країнi, що обмежує можливостi прогнозування обсягiв виробництва на майбутнє, постiйне пiдвищення цiн на енергоносiї, що спричиняє також рiст цiн на послуги емiтента.  Дiяльнiсть емiтента не залежить вiд сезонних змiн.</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9. Стратегiя подальшої дiяльностi особи щонайменше на рiк (щодо розширення виробництва, реконструкцiї, полiпшення фiнансового стану, опис iстотних факторiв, якi можуть вплинути на дiяльнiсть особи в майбутньому). В перiод кризової ситуацiї в країнi, товариство повинно забезпечити своєчасну виплату заробiтної плати працiвникам пiдприємства.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Для покращення дохiдностi вiд здiйснення автоперевезень планується проводити роботу для збiльшення нерегулярних та регулярних спецiальних, а також мiжнародних маршрутних перевезень; при необхiдностi залучення для цiєї мети автотранспорту iнших перевiзникiв через оперативну оренду; проводити роботу по збiльшенню рентабельностi закордонних перевезень. Товариство в минулих роках брало участь в конкурсах для продовження дiючих дозволiв на маршрутнi перевезення, а також розглядає можливiсть вiдкриття нових мiжнародних маршрутiв.</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Також планується проводити роботу по покращенню благоустрою територiї на авторечовому ринку та збiльшити спектр послуг для фiзичних та юридичних осiб як на ринку, так i використовуючи базу автотранспортного пiдприємства.</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10. Основнi придбання або вiдчуження активiв за останнi п'ять рокiв, а також якщо плануються будь-якi значнi iнвестицiї або придбання, то також необхiдно надати їх опис, включаючи суттєвi умови придбання або iнвестицiї, їх вартiсть i спосiб фiнансування.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 протязi останнiх Товариством проведено ряд робiт по капiтальному ремонту кузовiв автобусiв та їх переобладнання. Загальна вартiсть капiтального ремонту та модернiзацiї транспортних засобiв становить 484,7 тис.грн. за рахунок власних обiгових коштiв пiдприємства. Всього за 5 останнiх рокiв було придбано, споруджено та проведено капiтальний ремонт основних засобiв на загальну суму 1702,5тис.грн.(без ПДВ). Джерелом фiнансування даного придбання, ремонтiв та переобладнання є власнi кошти пiдприємства.</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 Основнi засоби особи, включаючи об'єкти оренди та будь-якi значнi правочини особи щодо них; виробничi потужностi та ступiнь використання обладнання, спосiб утримання активiв, мiсцезнаходження основних засобiв. Крiм того, необхiдно описати екологiчнi питання, що можуть позначитися на використаннi активiв пiдприємства, плани капiтального будiвництва, розширення або удосконалення основних засобiв, характер та причини таких планiв, суми видаткiв, у тому числi вже зроблених, методи фiнансування, прогнознi дати початку та закiнчення дiяльностi та очiкуване зростання виробничих потужностей пiсля її завершення. Товариство здiйснює облiк основних засобiв у вiдповiдностi до МСБО 16 "Основнi засоби". Основнi засоби вiдображенi за iсторичною вартiстю за вирахуванням накопиченої амортизацiї та резерву пiд знецiнення (в разi наявностi). Амортизацiя об'єкта основних засобiв починається з моменту, коли актив повнiстю готовий до використання. Величина, яка амортизується визначається як фактична вартiсть активу або iнша сума, що замiнює фактичну вартiсть, за вирахуванням його лiквiдацiйної вартостi. Лiквiдацiйна вартiсть активу являє собою оцiночну суму, яку Товариство отримало б зараз в разi продажу активу, за вирахуванням оцiночних витрат на вибуття, якби стан i вiк даного активу вiдповiдали вiку i стану, якi даний актив матиме наприкiнцi строку корисного використання. Вартiсть, яка амортизується, пiдлягає розподiлу на систематичнiй основi протягом строку корисного використання цього активу. Нарахування амортизацiї основних засобiв здiйснюється iз застосуванням прямолiнiйного методу.</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12. Проблеми, якi впливають на дiяльнiсть особи, в тому числi ступiнь залежностi вiд законодавчих або економiчних обмежень. Основними замовниками на послуги пiдприємства є населення, тому рiвень доходiв на пiдприємствi в значнiй мiрi залежить вiд його платоспроможностi.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Основними полiтичними факторами, що впливали на дiяльнiсть пiдприємства</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:Воєнний стан, який в даний час запроваджений в країнi через збройну агресiю на Україну, вплинув на зменшення пасажиропотоку на примiських та мiжмiських перевезеннях, а також значно скоротились спецiальнi нерегулярнi перевезення.. Слiд вiдмiтити збiльшення пасажиропотоку на регулярних маршрутних мiжнародних перевезеннях. Також iснує нестача водiїв через плиннiсть кадрiв та мобiлiзацiю.</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Фiнансово-економiчними факторами, якi впливають на результати дiяльностi пiдприємства є значний рiвень iнфляцiї по всiх макроекономiчних показниках, в той же час збiльшення тарифiв на мiськi перевезення пасажирiв вiдбувається з великою затримкою та не покриває динамiку зростання витрат.. Для оновлення рухомого складу та проведення капiтального ремонту наявних транспортних засобiв значним стримуючим фактором є високi кредитнi ставки в фiнансових установах та вiдсутнiсть державних пiльгових програм для розвитку соцiальних видiв перевезень.  Внаслiдок компенсування втрат вiд перевезень пiльгових категорiй неселення по м.Ужгород мiсцевими органами самоврядування, пiдприємство змогло провести капiтальний ремонт кузовiв кiлькох автобусiв та пiдтримувати наявнi автобуси в робочому станi . В той же час iснує крайня необхiднiсть для придбання автобусiв середньої та великої мiсткостi для здiйснення мiських перевезень пасажирiв, проте при таких фiнансово-економiчних умовах господарювання, якi були у  звiтньому роцi  роцi, пiдприємство не в змозi виконати це завдання.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Iнвестицiйна полiтика пiдприємства теж в значнiй мiрi буде залежати вiд рiвня вiдшкодування втрат вiд перевезень пiльгових категорiй населення та вiд пiдвищення тарифiв на мiськi перевезення.</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Важливим виробничо - технiчним фактором є значний рiвень зношеностi рухомого складу , що зумовлює великi витрати на ремонт та пiдтримання транспорту в робочому станi.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Важливим соцiальним фактором є плиннiсть кадрiв та нестача водiїв.</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 Вартiсть укладених, але ще не виконаних договорiв (контрактiв) на кiнець звiтного перiоду (загальний пiдсумок) та очiкуванi прибутки вiд виконання цих договорiв (контрактiв). Укладених але не виконаних договорiв немає.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14. Середньооблiкова чисельнiсть штатних працiвникiв особи, середня чисельнiсть позаштатних працiвникiв та осiб, якi працюють за сумiсництвом, чисельнiсть працiвникiв, якi працюють на умовах неповного робочого часу (дня, тижня), розмiр фонду оплати працi. Крiм того, зазначається про факти змiни розмiру фонду оплати працi, його збiльшення або зменшення вiдносно попереднього року.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31.12.2021р. облiкова чисельнiсть працiвникiв становила 165чол. 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в першу чергу в мiському режимi. Вiдповiдно вiдбулось i зменшення фонду оплати працi.Фонд оплати працi в 2021р. становив 10568,0 тис.грн. проти 10768 тис.грн. за 2020р.;</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31.12.2022р. облiкова чисельнiсть працiвникiв становила 154 чол. 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в першу чергу в мiському режимi. Вiдповiдно вiдбулось i зменшення фонду оплати працi.Фонд оплати працi в 2022р. становив 8499.0 тис.грн.   проти 10568 тис.грн. за 2021р.;</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31.12.2023р. облiкова чисельнiсть працiвникiв становила 144 чол. Фонд оплати працi в 2023р. становив 10359.0 тис.грн. проти 8499.0 тис.грн. за 2022р.;</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31.12.2024р. облiкова чисельнiсть працiвникiв становила 120чол. Фонд оплати працi в 2024р. становив 12636.0 тис.грн. проти 10359.0 тис.грн. за 2023р.;</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31.12.2025р. облiкова чисельнiсть працiвникiв становила 113 чол. 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Фонд оплати працi в 2025р. зрiс за рахунок збiльшення розмiру середньої заробiтної плати по пiдприємству (збiльшення окладiв, погодинних тарифних ставок та доплат) i становив 16817.0 тис.грн. проти 12636.0 тис.грн. за 2024р.;</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15. Будь-якi пропозицiї щодо реорганiзацiї з боку третiх осiб, що мали мiсце протягом звiтного перiоду, умови та результати цих пропозицiй. Будь-яких пропозицiй щодо реорганiзацiї з боку третiх осiб, що мали мiсце протягом звiтного перiоду не надходило.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16. Iнша iнформацiя, яка може бути iстотною для оцiнки стейкхолдерами фiнансового стану та результатiв дiяльностi особи.  Вартiсть чистих активiв вiдповiдає вимогам чинного законодавства.Iнша iстотна iнформацiя для iнвесторiв вiдсутня</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отриманих особою ліцензій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3155"/>
        <w:gridCol w:w="1500"/>
        <w:gridCol w:w="1065"/>
        <w:gridCol w:w="3000"/>
        <w:gridCol w:w="1200"/>
      </w:tblGrid>
      <w:tr w:rsidR="00003DA6" w:rsidTr="0010026C">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діяльності</w:t>
            </w:r>
          </w:p>
        </w:tc>
        <w:tc>
          <w:tcPr>
            <w:tcW w:w="1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ліцензії</w:t>
            </w:r>
          </w:p>
        </w:tc>
        <w:tc>
          <w:tcPr>
            <w:tcW w:w="1065"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видачі</w:t>
            </w:r>
          </w:p>
        </w:tc>
        <w:tc>
          <w:tcPr>
            <w:tcW w:w="3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Орган державної влади, що видав ліцензію</w:t>
            </w:r>
          </w:p>
        </w:tc>
        <w:tc>
          <w:tcPr>
            <w:tcW w:w="12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закінчення строку дії ліцензії (за наявності)</w:t>
            </w:r>
          </w:p>
        </w:tc>
      </w:tr>
      <w:tr w:rsidR="00003DA6" w:rsidTr="0010026C">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065"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3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2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r>
      <w:tr w:rsidR="00003DA6" w:rsidTr="0010026C">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Надання послуг з перевезення пасажирiв та вантажiв автомобiльним транспортом загального користування</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АВ №545256</w:t>
            </w:r>
          </w:p>
        </w:tc>
        <w:tc>
          <w:tcPr>
            <w:tcW w:w="1065"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14.07.2010</w:t>
            </w:r>
          </w:p>
        </w:tc>
        <w:tc>
          <w:tcPr>
            <w:tcW w:w="3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Головна державна iнспекцiя на автомобiльному транспортi</w:t>
            </w:r>
          </w:p>
        </w:tc>
        <w:tc>
          <w:tcPr>
            <w:tcW w:w="12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r>
      <w:tr w:rsidR="00003DA6" w:rsidTr="0010026C">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Медична практика</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АД№071032</w:t>
            </w:r>
          </w:p>
        </w:tc>
        <w:tc>
          <w:tcPr>
            <w:tcW w:w="1065"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18.10.2012</w:t>
            </w:r>
          </w:p>
        </w:tc>
        <w:tc>
          <w:tcPr>
            <w:tcW w:w="3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Мiнiстерство охорони здоров'я</w:t>
            </w:r>
          </w:p>
        </w:tc>
        <w:tc>
          <w:tcPr>
            <w:tcW w:w="12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r>
      <w:tr w:rsidR="00003DA6" w:rsidTr="0010026C">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Централiзоване водопостачання</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АВ №366397</w:t>
            </w:r>
          </w:p>
        </w:tc>
        <w:tc>
          <w:tcPr>
            <w:tcW w:w="1065"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28.01.2013</w:t>
            </w:r>
          </w:p>
        </w:tc>
        <w:tc>
          <w:tcPr>
            <w:tcW w:w="3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Закарпатська обласна державна адмiнiстрацiя</w:t>
            </w:r>
          </w:p>
        </w:tc>
        <w:tc>
          <w:tcPr>
            <w:tcW w:w="12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основні засоби (за залишковою вартістю)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8"/>
        <w:gridCol w:w="1260"/>
        <w:gridCol w:w="1080"/>
        <w:gridCol w:w="1260"/>
        <w:gridCol w:w="1080"/>
        <w:gridCol w:w="1260"/>
        <w:gridCol w:w="1082"/>
      </w:tblGrid>
      <w:tr w:rsidR="00003DA6" w:rsidTr="0010026C">
        <w:tblPrEx>
          <w:tblCellMar>
            <w:top w:w="0" w:type="dxa"/>
            <w:bottom w:w="0" w:type="dxa"/>
          </w:tblCellMar>
        </w:tblPrEx>
        <w:trPr>
          <w:trHeight w:val="200"/>
        </w:trPr>
        <w:tc>
          <w:tcPr>
            <w:tcW w:w="3058" w:type="dxa"/>
            <w:vMerge w:val="restart"/>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основних засобів</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Власні основні засоби, тис. грн</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Орендовані основні засоби, тис. грн</w:t>
            </w:r>
          </w:p>
        </w:tc>
        <w:tc>
          <w:tcPr>
            <w:tcW w:w="2342"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Основні засоби, усього, тис. грн</w:t>
            </w:r>
          </w:p>
        </w:tc>
      </w:tr>
      <w:tr w:rsidR="00003DA6" w:rsidTr="0010026C">
        <w:tblPrEx>
          <w:tblCellMar>
            <w:top w:w="0" w:type="dxa"/>
            <w:bottom w:w="0" w:type="dxa"/>
          </w:tblCellMar>
        </w:tblPrEx>
        <w:trPr>
          <w:trHeight w:val="200"/>
        </w:trPr>
        <w:tc>
          <w:tcPr>
            <w:tcW w:w="3058" w:type="dxa"/>
            <w:vMerge/>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2"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r>
      <w:tr w:rsidR="00003DA6" w:rsidTr="0010026C">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1. 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17 683</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17 287</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2 338</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3 378</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20 021</w:t>
            </w:r>
          </w:p>
        </w:tc>
        <w:tc>
          <w:tcPr>
            <w:tcW w:w="1082"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20 665</w:t>
            </w:r>
          </w:p>
        </w:tc>
      </w:tr>
      <w:tr w:rsidR="00003DA6" w:rsidTr="0010026C">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3 220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2 828</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3 220</w:t>
            </w:r>
          </w:p>
        </w:tc>
        <w:tc>
          <w:tcPr>
            <w:tcW w:w="1082"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2 828</w:t>
            </w:r>
          </w:p>
        </w:tc>
      </w:tr>
      <w:tr w:rsidR="00003DA6" w:rsidTr="0010026C">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w:t>
            </w:r>
          </w:p>
        </w:tc>
        <w:tc>
          <w:tcPr>
            <w:tcW w:w="1082"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w:t>
            </w:r>
          </w:p>
        </w:tc>
      </w:tr>
      <w:tr w:rsidR="00003DA6" w:rsidTr="0010026C">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256</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262</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2 338</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3 378</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2 594</w:t>
            </w:r>
          </w:p>
        </w:tc>
        <w:tc>
          <w:tcPr>
            <w:tcW w:w="1082"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3 640</w:t>
            </w:r>
          </w:p>
        </w:tc>
      </w:tr>
      <w:tr w:rsidR="00003DA6" w:rsidTr="0010026C">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14 094</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14 110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14 094</w:t>
            </w:r>
          </w:p>
        </w:tc>
        <w:tc>
          <w:tcPr>
            <w:tcW w:w="1082"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14 110</w:t>
            </w:r>
          </w:p>
        </w:tc>
      </w:tr>
      <w:tr w:rsidR="00003DA6" w:rsidTr="0010026C">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w:t>
            </w:r>
          </w:p>
        </w:tc>
        <w:tc>
          <w:tcPr>
            <w:tcW w:w="1082"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w:t>
            </w:r>
          </w:p>
        </w:tc>
      </w:tr>
      <w:tr w:rsidR="00003DA6" w:rsidTr="0010026C">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2. Невиробничого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інвестиційна нерухомість</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17 683</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17 287</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2 338</w:t>
            </w:r>
          </w:p>
        </w:tc>
        <w:tc>
          <w:tcPr>
            <w:tcW w:w="10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3 378</w:t>
            </w:r>
          </w:p>
        </w:tc>
        <w:tc>
          <w:tcPr>
            <w:tcW w:w="12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20 021</w:t>
            </w:r>
          </w:p>
        </w:tc>
        <w:tc>
          <w:tcPr>
            <w:tcW w:w="1082"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20 665</w:t>
            </w:r>
          </w:p>
        </w:tc>
      </w:tr>
      <w:tr w:rsidR="00003DA6" w:rsidTr="0010026C">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7022" w:type="dxa"/>
            <w:gridSpan w:val="6"/>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На протязi 2025року було додатково взято в оренду транспортнi засоби для виконання мiжнародних перевезень залишковою вартiстю 2050,0тис.грн. та проведено капiтальний ремонт кузовiв автобусiв на суму 315,8 тис.грн.</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вартості чистих активів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60"/>
        <w:gridCol w:w="2740"/>
        <w:gridCol w:w="3000"/>
        <w:gridCol w:w="3000"/>
      </w:tblGrid>
      <w:tr w:rsidR="00003DA6" w:rsidTr="0010026C">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показника</w:t>
            </w:r>
          </w:p>
        </w:tc>
        <w:tc>
          <w:tcPr>
            <w:tcW w:w="3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3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попередній період</w:t>
            </w:r>
          </w:p>
        </w:tc>
      </w:tr>
      <w:tr w:rsidR="00003DA6" w:rsidTr="0010026C">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Розрахункова вартість чистих активів, тис.грн</w:t>
            </w:r>
          </w:p>
        </w:tc>
        <w:tc>
          <w:tcPr>
            <w:tcW w:w="3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16 404</w:t>
            </w:r>
          </w:p>
        </w:tc>
        <w:tc>
          <w:tcPr>
            <w:tcW w:w="3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18 366</w:t>
            </w:r>
          </w:p>
        </w:tc>
      </w:tr>
      <w:tr w:rsidR="00003DA6" w:rsidTr="0010026C">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12 693</w:t>
            </w:r>
          </w:p>
        </w:tc>
        <w:tc>
          <w:tcPr>
            <w:tcW w:w="3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12 693</w:t>
            </w:r>
          </w:p>
        </w:tc>
      </w:tr>
      <w:tr w:rsidR="00003DA6" w:rsidTr="0010026C">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12 693</w:t>
            </w:r>
          </w:p>
        </w:tc>
        <w:tc>
          <w:tcPr>
            <w:tcW w:w="3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12 693</w:t>
            </w:r>
          </w:p>
        </w:tc>
      </w:tr>
      <w:tr w:rsidR="00003DA6" w:rsidTr="0010026C">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Співвідношення (у відсотках) вартості чистих активів особи за звітний період до розміру зареєстрованого статутного капіталу особи</w:t>
            </w:r>
          </w:p>
        </w:tc>
        <w:tc>
          <w:tcPr>
            <w:tcW w:w="3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129</w:t>
            </w:r>
          </w:p>
        </w:tc>
        <w:tc>
          <w:tcPr>
            <w:tcW w:w="3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145</w:t>
            </w:r>
          </w:p>
        </w:tc>
      </w:tr>
      <w:tr w:rsidR="00003DA6" w:rsidTr="0010026C">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Співвідношення (у відсотках) вартості </w:t>
            </w:r>
            <w:r>
              <w:rPr>
                <w:rFonts w:ascii="Times New Roman CYR" w:hAnsi="Times New Roman CYR" w:cs="Times New Roman CYR"/>
              </w:rPr>
              <w:lastRenderedPageBreak/>
              <w:t>чистих активів особи за звітний період до вартості чистих активів за попередній звітний період</w:t>
            </w:r>
          </w:p>
        </w:tc>
        <w:tc>
          <w:tcPr>
            <w:tcW w:w="3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89</w:t>
            </w:r>
          </w:p>
        </w:tc>
        <w:tc>
          <w:tcPr>
            <w:tcW w:w="3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98</w:t>
            </w:r>
          </w:p>
        </w:tc>
      </w:tr>
      <w:tr w:rsidR="00003DA6" w:rsidTr="0010026C">
        <w:tblPrEx>
          <w:tblCellMar>
            <w:top w:w="0" w:type="dxa"/>
            <w:bottom w:w="0" w:type="dxa"/>
          </w:tblCellMar>
        </w:tblPrEx>
        <w:trPr>
          <w:trHeight w:val="200"/>
        </w:trPr>
        <w:tc>
          <w:tcPr>
            <w:tcW w:w="126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Висновок</w:t>
            </w:r>
          </w:p>
        </w:tc>
        <w:tc>
          <w:tcPr>
            <w:tcW w:w="8740" w:type="dxa"/>
            <w:gridSpan w:val="3"/>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Розрахунок вартостi чистих активiв виконано вiдповiдно до пункту 2 статтi 16 Закону України "Про акцiонернi товариства" №2465-IX вiд 27.07.2022р. Визначення вартостi чистих активiв проводилося за формулою: Власний капiтал (вартiсть чистих активiв) товариства - рiзниця мiж сукупною вартiстю активiв товариства та вартiстю його зобов'язань перед iншими особами. Розрахункова вартiсть чистих активiв менша статутного (скоригованого статутного капiталу. Чистi активи акцiонерного товариства, за даними останньої рiчної фiнансової звiтностi, становлять менше 50 вiдсоткiв розмiру зареєстрованого статутного капiталу. Вимоги ч. 2 ст. 16 Закону України "Про акцiонернi Товариства" щодо вартостi чистих активiв Товариством  дотримуються.</w:t>
            </w:r>
          </w:p>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p>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зобов'язання та забезпечення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780"/>
        <w:gridCol w:w="1440"/>
        <w:gridCol w:w="1480"/>
        <w:gridCol w:w="1940"/>
        <w:gridCol w:w="1328"/>
      </w:tblGrid>
      <w:tr w:rsidR="00003DA6" w:rsidTr="0010026C">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Види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виникнення</w:t>
            </w:r>
          </w:p>
        </w:tc>
        <w:tc>
          <w:tcPr>
            <w:tcW w:w="14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Непогашена частина боргу (тис. грн)</w:t>
            </w:r>
          </w:p>
        </w:tc>
        <w:tc>
          <w:tcPr>
            <w:tcW w:w="19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Відсоток за користування коштами (відсоток річних)</w:t>
            </w:r>
          </w:p>
        </w:tc>
        <w:tc>
          <w:tcPr>
            <w:tcW w:w="1328"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погашення</w:t>
            </w:r>
          </w:p>
        </w:tc>
      </w:tr>
      <w:tr w:rsidR="00003DA6" w:rsidTr="0010026C">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Кредити банку</w:t>
            </w:r>
          </w:p>
        </w:tc>
        <w:tc>
          <w:tcPr>
            <w:tcW w:w="14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3DA6" w:rsidTr="0010026C">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r>
      <w:tr w:rsidR="00003DA6" w:rsidTr="0010026C">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Зобов’язання за цінними паперами</w:t>
            </w:r>
          </w:p>
        </w:tc>
        <w:tc>
          <w:tcPr>
            <w:tcW w:w="14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3DA6" w:rsidTr="0010026C">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r>
      <w:tr w:rsidR="00003DA6" w:rsidTr="0010026C">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облігаціями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3DA6" w:rsidTr="0010026C">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іпотечними цінними паперами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3DA6" w:rsidTr="0010026C">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сертифікатами ФОН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3DA6" w:rsidTr="0010026C">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векселями (всього):</w:t>
            </w:r>
          </w:p>
        </w:tc>
        <w:tc>
          <w:tcPr>
            <w:tcW w:w="14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3DA6" w:rsidTr="0010026C">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іншими цінними паперами (у тому числі за деривативами)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3DA6" w:rsidTr="0010026C">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фінансовими інвестиціями в корпоративні права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3DA6" w:rsidTr="0010026C">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Податкові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3DA6" w:rsidTr="0010026C">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Фінансова допомога на зворотній основі</w:t>
            </w:r>
          </w:p>
        </w:tc>
        <w:tc>
          <w:tcPr>
            <w:tcW w:w="14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678</w:t>
            </w:r>
          </w:p>
        </w:tc>
        <w:tc>
          <w:tcPr>
            <w:tcW w:w="19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3DA6" w:rsidTr="0010026C">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зобов'язання та забезпечення</w:t>
            </w:r>
          </w:p>
        </w:tc>
        <w:tc>
          <w:tcPr>
            <w:tcW w:w="14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5 620</w:t>
            </w:r>
          </w:p>
        </w:tc>
        <w:tc>
          <w:tcPr>
            <w:tcW w:w="19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3DA6" w:rsidTr="0010026C">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зобов'язань та забезпечень</w:t>
            </w:r>
          </w:p>
        </w:tc>
        <w:tc>
          <w:tcPr>
            <w:tcW w:w="14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6 298</w:t>
            </w:r>
          </w:p>
        </w:tc>
        <w:tc>
          <w:tcPr>
            <w:tcW w:w="194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осіб, послугами яких користується особа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вiдповiдальнiстю "ФК"Захiдна iнвестицiйна група"</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відповідальністю</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30610731</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76018, Iвано-Франкiвська обл., д/н р-н, м.Iвано-Франкiвськ, площа Мiцкевича, буд.6,офiс 5</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серiя АЕ №263160</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ЦП та ФР</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20.06.2013</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(0342)525-767</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66,19 - Посередництво за договорами по цiнних паперах або товарах.</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66,12 - Посередництво за договорами по цiнних паперах або товарах</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Дiяльнiсть з вiдкриття та ведення рахункiв у цiнних паперах власникiв iменних цiнних паперiв</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Нацiональний депозитарiй України</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Публічне акціонерне товариство</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30370711</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04071, д/н р-н, м.Київ, Тропiнiна, 7Г</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2092</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НКЦПФР</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01.10.2013</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482-15-15</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63,11 - Надання iнфраструктури для розмiщення (хостингу), оброблення даних i пов'язану iз цим дiяльнiсть</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18,20 - тиражування звуко, вiдеозаписiв i програмного забезпечення</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Послуги щодо обслуговування випуску цiнних паперiв</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УСТАНОВА АГЕНТСТВО З РОЗВИТКУ ИНФРАСТРУКТУРИ ФОНДОВОГО РИНКУ УКРАИНИ</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організація (установа, заклад)</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21676262</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03150, д/н р-н, м.Київ, АНТОНОВИЧА, будинок 51, офис 1206</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DR/00002/ARM</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НКЦПФР</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18.02.2019</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287-56-70</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84,13 - Регулювання та сприяння ефективному веденню економiчної дiяльностi.</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63,11 - Оброблення даних, розмiщення iнформацiї на веб-вузлах i пов'язана з ними дiяльнiсть</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62,01 - Комп'ютерне програмування</w:t>
            </w:r>
          </w:p>
        </w:tc>
      </w:tr>
      <w:tr w:rsidR="00003DA6" w:rsidTr="0010026C">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Вид послуг, які надає особа</w:t>
            </w:r>
          </w:p>
        </w:tc>
        <w:tc>
          <w:tcPr>
            <w:tcW w:w="4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Дiяльнiсть з надання iнформацiйних послуг на фондовому ринку</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rPr>
        <w:sectPr w:rsidR="00003DA6">
          <w:pgSz w:w="12240" w:h="15840"/>
          <w:pgMar w:top="570" w:right="720" w:bottom="570" w:left="720" w:header="708" w:footer="708" w:gutter="0"/>
          <w:cols w:space="720"/>
          <w:noEndnote/>
        </w:sectPr>
      </w:pP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II. Інформація щодо капіталу та цінних паперів</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Структура капіталу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2000"/>
        <w:gridCol w:w="2000"/>
        <w:gridCol w:w="2000"/>
        <w:gridCol w:w="1900"/>
        <w:gridCol w:w="2000"/>
        <w:gridCol w:w="2000"/>
        <w:gridCol w:w="3000"/>
      </w:tblGrid>
      <w:tr w:rsidR="00003DA6" w:rsidTr="0010026C">
        <w:tblPrEx>
          <w:tblCellMar>
            <w:top w:w="0" w:type="dxa"/>
            <w:bottom w:w="0" w:type="dxa"/>
          </w:tblCellMar>
        </w:tblPrEx>
        <w:trPr>
          <w:trHeight w:val="2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Тип та/або клас акцій</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19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Номінальна вартість, грн</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Права та обов'язки</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Наявність публічної пропозиції та/або допуску до торгів на організованих ринках капіталу</w:t>
            </w:r>
          </w:p>
        </w:tc>
        <w:tc>
          <w:tcPr>
            <w:tcW w:w="30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Облік часток особи в обліковій системі часток</w:t>
            </w:r>
          </w:p>
        </w:tc>
      </w:tr>
      <w:tr w:rsidR="00003DA6" w:rsidTr="0010026C">
        <w:tblPrEx>
          <w:tblCellMar>
            <w:top w:w="0" w:type="dxa"/>
            <w:left w:w="28" w:type="dxa"/>
            <w:bottom w:w="0" w:type="dxa"/>
            <w:right w:w="28" w:type="dxa"/>
          </w:tblCellMar>
        </w:tblPrEx>
        <w:trPr>
          <w:trHeight w:val="200"/>
        </w:trPr>
        <w:tc>
          <w:tcPr>
            <w:tcW w:w="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9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30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003DA6" w:rsidTr="0010026C">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Простi iменнi</w:t>
            </w:r>
          </w:p>
        </w:tc>
        <w:tc>
          <w:tcPr>
            <w:tcW w:w="2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51 847 844</w:t>
            </w:r>
          </w:p>
        </w:tc>
        <w:tc>
          <w:tcPr>
            <w:tcW w:w="19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0,25</w:t>
            </w:r>
          </w:p>
        </w:tc>
        <w:tc>
          <w:tcPr>
            <w:tcW w:w="2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Права та обов'язки акцiонерiв визначенi Статутом Товариства.</w:t>
            </w:r>
          </w:p>
        </w:tc>
        <w:tc>
          <w:tcPr>
            <w:tcW w:w="2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Емiтент не здiйснював публiчної пропозицiї, допуску до торгiв на фондовiй бiржi в частинi включення до бiржового реєстру не було</w:t>
            </w:r>
          </w:p>
        </w:tc>
        <w:tc>
          <w:tcPr>
            <w:tcW w:w="3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Облiк часток Товариства здiйснює Центральний депозитарiй</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3. Цінні папери</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випуски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50"/>
        <w:gridCol w:w="1350"/>
        <w:gridCol w:w="2400"/>
        <w:gridCol w:w="1700"/>
        <w:gridCol w:w="1600"/>
        <w:gridCol w:w="1350"/>
        <w:gridCol w:w="1450"/>
        <w:gridCol w:w="1200"/>
        <w:gridCol w:w="1400"/>
        <w:gridCol w:w="1700"/>
      </w:tblGrid>
      <w:tr w:rsidR="00003DA6" w:rsidTr="0010026C">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реєстрації випуску</w:t>
            </w:r>
          </w:p>
        </w:tc>
        <w:tc>
          <w:tcPr>
            <w:tcW w:w="13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органу, що зареєстрував випуск</w:t>
            </w:r>
          </w:p>
        </w:tc>
        <w:tc>
          <w:tcPr>
            <w:tcW w:w="17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Міжнародний ідентифікаційний номер</w:t>
            </w:r>
          </w:p>
        </w:tc>
        <w:tc>
          <w:tcPr>
            <w:tcW w:w="16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Тип цінного папера</w:t>
            </w:r>
          </w:p>
        </w:tc>
        <w:tc>
          <w:tcPr>
            <w:tcW w:w="13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існування та форма випуску</w:t>
            </w:r>
          </w:p>
        </w:tc>
        <w:tc>
          <w:tcPr>
            <w:tcW w:w="14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Номінальна вартість, грн</w:t>
            </w:r>
          </w:p>
        </w:tc>
        <w:tc>
          <w:tcPr>
            <w:tcW w:w="12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1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номінальна вартість, грн</w:t>
            </w:r>
          </w:p>
        </w:tc>
        <w:tc>
          <w:tcPr>
            <w:tcW w:w="17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Частка у статутному капіталі (у відсотках)</w:t>
            </w:r>
          </w:p>
        </w:tc>
      </w:tr>
      <w:tr w:rsidR="00003DA6" w:rsidTr="0010026C">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3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7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6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3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4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2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4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7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003DA6" w:rsidTr="0010026C">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07.10.2014</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4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цiнних паперiв та фондового ринку</w:t>
            </w:r>
          </w:p>
        </w:tc>
        <w:tc>
          <w:tcPr>
            <w:tcW w:w="17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UA4000081541</w:t>
            </w:r>
          </w:p>
        </w:tc>
        <w:tc>
          <w:tcPr>
            <w:tcW w:w="16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Акція проста бездокументарна іменна</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Електронні іменні</w:t>
            </w:r>
          </w:p>
        </w:tc>
        <w:tc>
          <w:tcPr>
            <w:tcW w:w="14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0,25</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51 853 508</w:t>
            </w:r>
          </w:p>
        </w:tc>
        <w:tc>
          <w:tcPr>
            <w:tcW w:w="14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12 963 377</w:t>
            </w:r>
          </w:p>
        </w:tc>
        <w:tc>
          <w:tcPr>
            <w:tcW w:w="17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r w:rsidR="00003DA6" w:rsidTr="0010026C">
        <w:tblPrEx>
          <w:tblCellMar>
            <w:top w:w="0" w:type="dxa"/>
            <w:bottom w:w="0" w:type="dxa"/>
          </w:tblCellMar>
        </w:tblPrEx>
        <w:trPr>
          <w:trHeight w:val="200"/>
        </w:trPr>
        <w:tc>
          <w:tcPr>
            <w:tcW w:w="2600" w:type="dxa"/>
            <w:gridSpan w:val="2"/>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12800" w:type="dxa"/>
            <w:gridSpan w:val="8"/>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Послугами рейтингового агенства Товариство не користується.</w:t>
            </w:r>
          </w:p>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Викуп власних акцiй емiтентом не здiйснювався.</w:t>
            </w:r>
          </w:p>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Акцiї простi на пред"явника,привiлейованi iменнi та привiлейованi  на пред"явника не випускались та не реєструвались.</w:t>
            </w:r>
          </w:p>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1. Iнформацiя про облiгацiї емiтента: за звiтний перiод облiгацiї товариство не випускало</w:t>
            </w:r>
          </w:p>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 Iнформацiя про iншi цiннi папери, випущенi емiтентом: за звiтний перiод товариство не випускало iншi цiннi папери;</w:t>
            </w:r>
          </w:p>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3.Iнформацiя про похiднi цiннi папери емiтента: у товариство вiдсутня iнформацiя про похiднi цiннi папери</w:t>
            </w:r>
          </w:p>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4.-Iiнформацiя про забезпечення випуску боргових цiнних паперiв: товариство борговi цiннi папери не випускало, гарантiю третiх осiб не використовувало</w:t>
            </w:r>
          </w:p>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5.Iнформацiя про придбання власних акцiй емiтентом протягом звiтного перiоду: протягом звiтного власних акцiй Товариство не придбавало. </w:t>
            </w:r>
          </w:p>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00"/>
        <w:gridCol w:w="2000"/>
        <w:gridCol w:w="2000"/>
        <w:gridCol w:w="2000"/>
        <w:gridCol w:w="2100"/>
        <w:gridCol w:w="1500"/>
        <w:gridCol w:w="1500"/>
        <w:gridCol w:w="2800"/>
      </w:tblGrid>
      <w:tr w:rsidR="00003DA6" w:rsidTr="0010026C">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реєстрації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Міжнародний 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у випуску, шт.</w:t>
            </w:r>
          </w:p>
        </w:tc>
        <w:tc>
          <w:tcPr>
            <w:tcW w:w="21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номінальна вартість, грн</w:t>
            </w:r>
          </w:p>
        </w:tc>
        <w:tc>
          <w:tcPr>
            <w:tcW w:w="1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кількість голосуючих акцій, шт.</w:t>
            </w:r>
          </w:p>
        </w:tc>
        <w:tc>
          <w:tcPr>
            <w:tcW w:w="1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голосуючих акцій, права голосу за якими обмежено, шт.</w:t>
            </w:r>
          </w:p>
        </w:tc>
        <w:tc>
          <w:tcPr>
            <w:tcW w:w="28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голосуючих акцій, права голосу за якими за результатами обмеження таких прав передано іншій особі, шт.</w:t>
            </w:r>
          </w:p>
        </w:tc>
      </w:tr>
      <w:tr w:rsidR="00003DA6" w:rsidTr="0010026C">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1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28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003DA6" w:rsidTr="0010026C">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07.10.2014</w:t>
            </w:r>
          </w:p>
        </w:tc>
        <w:tc>
          <w:tcPr>
            <w:tcW w:w="2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UA4000081541</w:t>
            </w:r>
          </w:p>
        </w:tc>
        <w:tc>
          <w:tcPr>
            <w:tcW w:w="20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51 853 508</w:t>
            </w:r>
          </w:p>
        </w:tc>
        <w:tc>
          <w:tcPr>
            <w:tcW w:w="2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12 963 377</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51 853 508</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8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13900" w:type="dxa"/>
            <w:gridSpan w:val="7"/>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Характеристика обмеження: Загальна кiлькiсть акцiонерiв, якi мають голосуючi акцiїї, становить  3 (три)  особи, яким належить  51 853 508   штук  простих iменних акцiй.</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rPr>
        <w:sectPr w:rsidR="00003DA6">
          <w:pgSz w:w="16837" w:h="11905" w:orient="landscape"/>
          <w:pgMar w:top="570" w:right="720" w:bottom="570" w:left="720" w:header="708" w:footer="708" w:gutter="0"/>
          <w:cols w:space="720"/>
          <w:noEndnote/>
        </w:sectPr>
      </w:pP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III. Фінансова інформація</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Інформація про розмір доходу за видами діяльності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4020"/>
        <w:gridCol w:w="2900"/>
        <w:gridCol w:w="2900"/>
      </w:tblGrid>
      <w:tr w:rsidR="00003DA6" w:rsidTr="0010026C">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діяльності особи із зазначенням найменування та коду за КВЕД</w:t>
            </w:r>
          </w:p>
        </w:tc>
        <w:tc>
          <w:tcPr>
            <w:tcW w:w="29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доходу особи від реалізації продукції (товарів, робіт, послуг), тис.грн</w:t>
            </w:r>
          </w:p>
        </w:tc>
        <w:tc>
          <w:tcPr>
            <w:tcW w:w="29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Відсоткове вираження по відношенню від сукупного доходу особи за результатами звітного року</w:t>
            </w:r>
          </w:p>
        </w:tc>
      </w:tr>
      <w:tr w:rsidR="00003DA6" w:rsidTr="0010026C">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9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9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003DA6" w:rsidTr="0010026C">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49,31 - Пасажирський наземний транспорт мiського та примiського сполучення</w:t>
            </w:r>
          </w:p>
        </w:tc>
        <w:tc>
          <w:tcPr>
            <w:tcW w:w="29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18269</w:t>
            </w:r>
          </w:p>
        </w:tc>
        <w:tc>
          <w:tcPr>
            <w:tcW w:w="29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39,5</w:t>
            </w:r>
          </w:p>
        </w:tc>
      </w:tr>
      <w:tr w:rsidR="00003DA6" w:rsidTr="0010026C">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49.39 - Iнший пасажирський наземний транспорт</w:t>
            </w:r>
          </w:p>
        </w:tc>
        <w:tc>
          <w:tcPr>
            <w:tcW w:w="29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18269</w:t>
            </w:r>
          </w:p>
        </w:tc>
        <w:tc>
          <w:tcPr>
            <w:tcW w:w="29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32,4</w:t>
            </w:r>
          </w:p>
        </w:tc>
      </w:tr>
      <w:tr w:rsidR="00003DA6" w:rsidTr="0010026C">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68,20 - Надання в оренду й експлуатацiю власного чи орендованого нерухомого майна</w:t>
            </w:r>
          </w:p>
        </w:tc>
        <w:tc>
          <w:tcPr>
            <w:tcW w:w="29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14248</w:t>
            </w:r>
          </w:p>
        </w:tc>
        <w:tc>
          <w:tcPr>
            <w:tcW w:w="29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28,1</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4. Твердження щодо річної інформації</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Керiвництво АТ "Ужгородське АТП 12107" вiд iменi осiб, що здiйснюють управлiнськi функцiї та пiдписують рiчну iнформацiю емiтента, заявляє, що наскiльки це вiдповiдальним особам вiдомо, рiчна фiнансова звiтнiсть, пiдготовлена вiдповiдно до стандартiв бухгалтерського облiку, що вимагаються згiдно iз Законом України "Про бухгалтерський облiк та фiнансову звiтнiсть в Українi", мiстить достовiрне та об'єктивне подання iнформацiї про стан активiв, пасивiв, фiнансовий стан, прибутки та збитки емiтента,а також про те, що звiт керiвництва включає достовiрне та об'єктивне подання iнформацiї про розвиток i здiйснення господарської дiяльностi, разом з описом основних ризикiв та невизначеностей, з якими вони стикаються у своїй господарськiй дiяльностi.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Вiд iменi керiвництва - директор АТ " Ужгородське АТП 12107"  Козун В.I.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IV. Нефінансова інформація</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Звіт керівництва (звіт про управління)</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Звернення до акціонерів/учасників та інших стейкхолдерів від голови ради особи</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Шановнi акцiонери, працiвники, партнери товариства та всi зацiкавленi особи! У своїй дiяльностi  Наглядова рада  Товариства керується чинним законодавством, Статутом, рiшеннями загальних зборiв акцiонерiв , положенням про НР та iншими внутрiшнiми положеннями Товариства. Для покращення дохiдностi вiд здiйснення автоперевезень планується проводити роботу для збiльшення нерегулярних та регулярних спецiальних, а також мiжнародних маршрутних перевезень; придбання для цiєї мети нових автобусiв та залучення наявного автотранспорту iнших перевiзникiв через оперативну оренду; проводити роботу по збiльшенню рентабельностi закордонних перевезень.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Звернення до акціонерів/учасників та інших стейкхолдерів від керівника особи</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Шановнi акцiонери, працiвники, партнери товариства та всi зацiкавленi особи!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своїй дiяльностi  директор Товариства керується чинним законодавством, Статутом, рiшеннями загальних зборiв акцiонерiв та наглядової ради, положенням про виконавчий орган та iншими внутрiшнiми положеннями Товариства.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 має велику зношенiсть рухомого складу та потребує його оновлення. Проте для придбання нових автобусiв значним стримуючим фактором є високi кредитнi ставки в фiнансових установах та вiдсутнiсть державних пiльгових програм для розвитку соцiальних видiв перевезень.. Основними ризиками в дiяльностi пiдприємства є нестабiльнiсть економiчної ситуацiї в країнi, що обмежує можливостi прогнозування обсягiв виробництва на майбутнє, постiйне пiдвищення цiн на енергоносiї, що спричиняє також рiст цiн на послуги емiтента. В перiод кризової ситуацiї в країнi, товариство </w:t>
      </w:r>
      <w:r>
        <w:rPr>
          <w:rFonts w:ascii="Times New Roman CYR" w:hAnsi="Times New Roman CYR" w:cs="Times New Roman CYR"/>
          <w:sz w:val="24"/>
          <w:szCs w:val="24"/>
        </w:rPr>
        <w:lastRenderedPageBreak/>
        <w:t xml:space="preserve">повинно забезпечити своєчасну виплату заробiтної плати працiвникам пiдприємства.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Інформація про розвиток та вірогідні перспективи подальшого розвитку особи</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АТ "Ужгородське автотранспортне пiдприємство 12107" - акцiонерне товариство , основною</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метою якого являється здiйснення пасажирських перевезень автомобiльним транспортом.</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Автотранспортне пiдприємство було створене в березнi 1945 року, як державне пiдприємтво для</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надання автотранспортних послуг по перевезенню пасажирiв та вантажiв, на базi якого в 1954</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роцi було органiзовано автобусно-таксомоторний парк. З 1964 року пiдприємство почало</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обслуговувати закордоннi пасажирськi автоперевезення. В серпнi 1998р. державне пiдприємство</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"Ужгородське АТП 12107"згiдно наказу РВ ФДМУ по Закарпатськiй областi №3/321 вiд</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23.07.1998р. було перетворене в процесi приватизацiї у вiдкрите акцiонерне товариство</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"Ужгородське АТП 12107". З 2006р. на територiї, видiленiй пiдприємству в постiйне</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землекористування пiд розширення пiдприємства було створено авторечовий ринок, який на</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сьогоднi являється найбiльшим ринком в м.Ужгородi. В 2010роцi пiдприємство в вiдповiдностi з</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Законом "Про акцiонернi товариства" та рiшення загальних зборiв акцiонерiв було</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перейменоване з Вiдкритого на Публiчне акцiонерне товариство, а в 2018роцi в вiдповiдностi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 змiн до Закону "Про акцiонернi товариства" та згiдно рiшення загальних зборiв акцiонерiв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перетворено в приватне акцiонерне товариство.</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Пiдтримування на досягнутому рiвнi обсягiв надання послуг з перевезення пасажирiв.</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Придбання нових автобусiв та пiдвищення регулярностi рейсiв, якостi послуг, реконструкцiя</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адмiнiстративного корпусу. Реконструкцiя торгових мiсць на авто речовому ринку для</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покращення умов роботи орендарiв, збiльшення орендної плати. Можлива змiна призначення</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частини земельної дiлянки по вул. Радiщева на землi комерцiйного призначення для реалiзацiї</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проекту будiвництва житлово-офiсного комплексу.</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Інформація про укладення деривативних контрактів або вчинення правочинів щодо деривативних цінних паперів емітентом (крім укладених / вчинених особою, яка провадить 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не укладало деривативи, та не вчиняло правочинiв щодо похiдних цiнних паперiв, тому не несе фiнансових ризикiв, пов'язаних з обiгом похiдних цiнних паперiв. Намiри щодо вчинення таких правочинiв вiдсутнi.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Судовi справи, за якими розглядаються позовнi вимоги у розмiрi на суму 1 або бiльше вiдсоткiв активiв емiтента, або судовi справи, стороною в яких виступають посадовi особи емiтента -вiдсутнi.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Завдання та політика особи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Завдань та полiтики товариства щодо управлiння фiнансовими ризиками, у тому числi полiтики щодо страхування кожного основного виду прогнозованої операцiї, для якої використовуються оперцiї хенджування - у товариства  немає.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Схильність особи до цінових ризиків, кредитного ризику, ризику ліквідності та/або ризику грошових потоків</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має значнi цiновi ризики, на якi не може впливати.Значний рiвень iнфляцiї по всiх</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макроекономiчних показниках при майже незмiнних регульованих тарифах на перевезення</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являється значним фактором для зменшення прибутковостi вiд перевезень. Товариство має</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велику зношенiсть рухомого складу та потребує його оновлення. Проте для придбання нових</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автобусiв значним стримуючим фактором є високi кредитнi ставки в фiнансових установах та</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вiдсутнiсть державних пiльгових програм для розвитку соцiальних видiв перевезень.</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1) звіт про корпоративне управління</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1. Інформація про кодекс корпоративного управління, яким керується особа, та/або практику корпоративного управління особи, застосовувану понад визначені законодавством вимоги</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практику корпоративного управління особи, застосовувану понад визначені законодавством вимоги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000"/>
        <w:gridCol w:w="1500"/>
        <w:gridCol w:w="4500"/>
      </w:tblGrid>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Відповідність практики (Так/Ні)</w:t>
            </w:r>
          </w:p>
        </w:tc>
        <w:tc>
          <w:tcPr>
            <w:tcW w:w="45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Опис наявної практики/обґрунтування відхилення</w:t>
            </w:r>
          </w:p>
        </w:tc>
      </w:tr>
      <w:tr w:rsidR="00003DA6" w:rsidTr="0010026C">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Цілі особи</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статуті та/або внутрішніх документах особи визначена мета щодо створення довгострокової сталої цінності в інтересах особи та її стейкхолдерів</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Статутi Товариства вказано, що воно створене i дiє з метою отримання прибутку в iнтересах, зокрема, акцiонерiв Товариства</w:t>
            </w:r>
          </w:p>
        </w:tc>
      </w:tr>
      <w:tr w:rsidR="00003DA6" w:rsidTr="0010026C">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Акціонери та стейкхолдери</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Права акціонерів</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У Статутi визначенi права акцiонерiв Товариства: Кожною простою акцiєю Товариства її власнику - акцiонеру надається однакова сукупнiсть прав, включаючи права на: - участь в управлiннi Товариством;-отримання дивiдендiв; - отримання у разi лiквiдацiї Товариства частини його майна або вартостi; - отримання iнформацiї про господарську дiяльнiсть Товариства; - придбавати, при здiйсненнi Товариством приватного розмiщення акцiй, розмiщуванi Товариством простi акцiї пропорцiйно частцi належних йому простих акцiй у загальнiй кiлькостi простих акцiй; - переважне право на придбання акцiй, що продаються iншими акцiонерами Товариства, за цiною та на умовах, запропонованих акцiонером третiй особi, пропорцiйно кiлькостi акцiй, що належать кожному з них. Одна проста акцiя Товариства надає акцiонеру один голос для вирiшення кожного питання на Загальних зборах, крiм випадкiв проведення кумулятивного голосування. Акцiонери - власники простих акцiй Товариства мають й iншi права, передбаченi актами законодавства та Статутом Товариства. Обов'язки акцiонерiв Товариства встановлюються </w:t>
            </w:r>
            <w:r>
              <w:rPr>
                <w:rFonts w:ascii="Times New Roman CYR" w:hAnsi="Times New Roman CYR" w:cs="Times New Roman CYR"/>
                <w:sz w:val="24"/>
                <w:szCs w:val="24"/>
              </w:rPr>
              <w:lastRenderedPageBreak/>
              <w:t>виключно Законом</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Права міноритарних акціонерів</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Особливих прав для мiноритарних акцiонерiв не передбачено.</w:t>
            </w:r>
          </w:p>
        </w:tc>
      </w:tr>
      <w:tr w:rsidR="00003DA6" w:rsidTr="0010026C">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загальні збори акціонерів</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 які 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Статутом Товариства передбачена така можливiсть.</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Біографічні дані про кандидатів до складу 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Вказанi данi розкриваються на запит акцiонерiв пiсля затвердження у встановленому порядку бюлетеню , куди вноситься передбачена чинним законодавством iнформацiя про кандидатiв.Статутом та внутрiшнiми документами не передбачено розкриття такої iнформацiї.</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Товариства передбачена така можливiсть.</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Керівник, фінансовий директор, більшість членів ради (більшість невиконавчих директорів ради директорів) і зовнішній аудитор беруть участь у річних загальних зборах</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Законом України "Про акцiонернi товариства" передбачено, що у загальних зборах акцiонерiв за запрошенням особи, яка скликає загальнi збори, також можуть брати участь iншi особи.</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 які мають можливість брати участь у загальних зборах, мають можливість ставити усні запитання стосовно питань порядку денного і отримувати відповіді на них</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випадку, якщо спосiб проведення таких зборiв визначено як очнi або електроннi.</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Детальний регламент проведення загальних зборів визначено статутом та/або внутрішніми документами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законодавства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Протокол та рішення загальних зборів (включаючи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чинного законодавства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Адреса вебсайту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чинного законодавства.</w:t>
            </w:r>
          </w:p>
        </w:tc>
      </w:tr>
      <w:tr w:rsidR="00003DA6" w:rsidTr="0010026C">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взаємодія з акціонерами</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затверджено та розкрито політику взаємодії з акціонерами, яка визначає параметри взаємовідносин між особою та її акціонерами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затверджено</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Створено відділ (функцію) з питань взаємодії з 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створено</w:t>
            </w:r>
          </w:p>
        </w:tc>
      </w:tr>
      <w:tr w:rsidR="00003DA6" w:rsidTr="0010026C">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3) поглинання</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визначено принципи, як вона діятиме у разі пропозиції щодо поглинання, зокрема: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 не вчиняти дії щодо протидії поглинанню без відповідного рішення загальних зборів;</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надавати акціонерам збалансований аналіз недоліків і переваг будь-якої пропозиції щодо поглинання;</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загальні збори приймають остаточне рішення про схвалення або відхилення пропозицій щодо поглинання</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та акцiонери у разi передпосилок до надходження пропозицiї щодо поглинання, здiйснять заходи щодо пiдготовки до схвалення або вiдхилення цiєї пропозицiї для того, щоб процес вiдбувався на взаємовигiдних умовах.</w:t>
            </w:r>
          </w:p>
        </w:tc>
      </w:tr>
      <w:tr w:rsidR="00003DA6" w:rsidTr="0010026C">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4) інші стейкхолдери </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затверджено та розкрито політику взаємодії зі стейкхолдерами, яка визначає параметри взаємовідносин між особою та її стейкхолдерами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окрема полiтика взаємодiї зi стейкхолдерами у Товариствi вiдсутня.Наглядовою радою Товариства не затверджувалася полiтика взаємодiї з акцiонерами.</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Особою визначено перелік своїх стейкхолдерів, зокрема і тих, з якими необхідно налагодити безпосередню взаємодію</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товариствi не створено вiддiлу (не призначено вiдповiдальну особу) з питань взаємодiї з iнвесторами/акцiонерами, який вiдповiдає на запити iнвесторiв та сприяє участi акцiонерiв в управлiннi особою, а також забезпечує можливiсть для мiноритарних акцiонерiв донести свої погляди до уваги ради.</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Особа розкриває звіт щодо аспектів </w:t>
            </w:r>
            <w:r>
              <w:rPr>
                <w:rFonts w:ascii="Times New Roman CYR" w:hAnsi="Times New Roman CYR" w:cs="Times New Roman CYR"/>
                <w:sz w:val="24"/>
                <w:szCs w:val="24"/>
              </w:rPr>
              <w:lastRenderedPageBreak/>
              <w:t>взаємодії зі стейкхолдерами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Обов'язковiсть не передбачена чинним </w:t>
            </w:r>
            <w:r>
              <w:rPr>
                <w:rFonts w:ascii="Times New Roman CYR" w:hAnsi="Times New Roman CYR" w:cs="Times New Roman CYR"/>
                <w:sz w:val="24"/>
                <w:szCs w:val="24"/>
              </w:rPr>
              <w:lastRenderedPageBreak/>
              <w:t>законодавством.</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не розкриває звiт щодо аспектiв взаємодiї зi стейкхолдерами.</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tc>
      </w:tr>
      <w:tr w:rsidR="00003DA6" w:rsidTr="0010026C">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3. Наглядова рада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входять до складу наглядових рад у більш ніж 3 інших юридичних особах</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входять до складу наглядових рад у бiльш нiж 3 iнших юридичних особах.</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веде облік відвідування засідань наглядової ради та її комітетів</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Кiлькiсть членiв наглядової ради емiтента, присутнiх на її засiданнi, зазначається в протоколi наглядової ради. Комiтети наглядовою радою емiтента не створювалися.</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 особи та/або її внутрішні документи визначають і пояснюють обов'язок членів наглядової ради сумлінно виконувати свої функції і дотримуватися принципу лояльності стосовно особи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наглядову раду емiтента визначає обов'язок членiв ради добросовiсно виконувати свої обов'язки та дiяти в iнтересах емiтента.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Наглядовій раді та її членам забезпечена можливість доступу до будь-якої інформації, яка необхідна їй для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мають доступ до будь-якої iнформацiї, яка необхiдна їм для виконання своїх обов"язкiв.доступом, несуть вiдповiдальнiсть за її неправомiрне використання.".</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регулярно оцінює результати діяльності особи та виконавчого органу відповідно до цілей особи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оцiнює результати дiяльностi емiтента та виконавчого органу при розглядi звiтiу директора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 особи та/або її внутрішні документи визначають, що наглядова рада не має права втручатися у поточне управління особою, у тому числі у питання, які належать до сфери відповідальності виконавчого органу, крім як у випадках надзвичайних обставин, які визначені належним чином</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Вiдповiдно до чинного законодавства, Статуту та положення про наглядову раду емiтента наглядова рада контролює та регулює дiяльнiсть виконавчого органу, який здiйснює управлiння поточною дiяльнiстю емiтента.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Розмір і навички членів наглядової ради відповідають потребам особи, її розміру та ступеню складності її діяльності</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емiтента вiдповiдають потребам товариства, а також вимогам щодо дiлової репутацiї та професiйної придатностi, встановленим чинним законодавством.</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Наглядовою радою визначені і регулярно переглядаються кваліфікаційні вимоги до кандидатів у члени наглядової ради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внутрiшнiього  документу щодо вимог до кандидатiв у члени наглядової ради  у товариства не має. Товариство керується Положенням про наглядову раду.</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Відбір та призначення членів наглядової ради відбувається на основі професійних якостей, досягнень і відповідності кандидатів конкретним критеріям, а також з урахуванням необхідності періодичного оновлення складу</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Зазначенi вимоги Статутом Товариства та/або внутрiшнiми положеннями не передбаченi.Статутом i Положенням Про наглядову раду Товариства встановлено, що Наглядова рада складається з 3 (трьох) членiв, якi обираються Загальними зборами строком на 3 (три) роки.</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наявна формалізована процедура перевірки кандидатів у члени наглядової ради, яка зокрема включає перевірку добропорядності, наявності конфлікту інтересів, компетентності, навичок і досвіду кандидата</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процедура не закрiплена окремим документом.</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Процедура відбору передбачає можливість залучення зовнішніх радників та/або процес відкритого пошуку</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процедура у Товариствi вiдсутня.</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розробляє плани наступництва для членів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Обов'язковiсть не передбачена чинним законодавством.Вiдсутня дана практика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затверджено політику щодо різноманіття складу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Представники однієї зі статей становлять не менше 40 % від складу наглядової ради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складi Наглядової ради одна особа жiночої статi, двi особи чоловiчої статi.</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2019 роцi припинено повноваження одного члена НР</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Незалежні члени наглядової ради становлять не менше половини від її загального складу</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проходять вступний тренінг після їх обрання, який серед іншого покриває:</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а) обов'язки, функції і сфери </w:t>
            </w:r>
            <w:r>
              <w:rPr>
                <w:rFonts w:ascii="Times New Roman CYR" w:hAnsi="Times New Roman CYR" w:cs="Times New Roman CYR"/>
                <w:sz w:val="24"/>
                <w:szCs w:val="24"/>
              </w:rPr>
              <w:lastRenderedPageBreak/>
              <w:t>відповідальності членів наглядової ради;</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незалежність, включаючи незалежність мислення;</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порядок роботи наглядової ради;</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 питання відповідальності;</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ґ) питання стратегії особи;</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 політики особи, включаючи питання етики, конфлікту інтересів та запобігання корупції;</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е) питання звітності та систем контролю, включаючи внутрішній та зовнішній аудит;</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є) роль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Проходження вступного тренiнгу членами Наглядової ради псля їх обрання не передбачено внутрiшнiм документами Товариства.Члени Наглядової ради </w:t>
            </w:r>
            <w:r>
              <w:rPr>
                <w:rFonts w:ascii="Times New Roman CYR" w:hAnsi="Times New Roman CYR" w:cs="Times New Roman CYR"/>
                <w:sz w:val="24"/>
                <w:szCs w:val="24"/>
              </w:rPr>
              <w:lastRenderedPageBreak/>
              <w:t>самостiйно ознайомлюються з документами та порядком роботи.</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Наглядова рада розробляє план навчання, який визначає, з яких питань необхідно пройти додаткове навчання її членам</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План навчання вiдсутнiй.Члени Наглядової ради здiйснюють навчання особисто.</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Голову наглядової ради обрано серед незалежних членів</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Голові наглядової ради забезпечено можливість для комунікації з акціонерами, у тому числі мажоритарними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не заборонена комунiкацiя Голови Наглядової ради з акцiонерами, у тому числi - мажоритарними.</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Функції голови наглядової ради визначаються у внутрішніх документах особи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Функцiї Голови Наглядової ради визначенi чинним законодавством, Статутом Товариства та Внутрiшнiм положенням про Наглядову раду Товариства..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Створена посада та призначено корпоративного секретаря</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Корпоративний секретар у товариства вiдсутнiй</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tc>
      </w:tr>
      <w:tr w:rsidR="00003DA6" w:rsidTr="0010026C">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комітети наглядової ради</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створено комітети та затверджені внутрішні документи, які регулюють їх діяльність</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питань аудиту складається з незалежних членів наглядової ради, які мають знання у сфері фінансів, галузевий досвід та досвід з питань бухгалтерського обліку, аудиту, контролю та управлінням ризиками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Члени комітету з питань аудиту не </w:t>
            </w:r>
            <w:r>
              <w:rPr>
                <w:rFonts w:ascii="Times New Roman CYR" w:hAnsi="Times New Roman CYR" w:cs="Times New Roman CYR"/>
                <w:sz w:val="24"/>
                <w:szCs w:val="24"/>
              </w:rPr>
              <w:lastRenderedPageBreak/>
              <w:t>входять до складу інших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У товариствi вiдсутнi Комiтети </w:t>
            </w:r>
            <w:r>
              <w:rPr>
                <w:rFonts w:ascii="Times New Roman CYR" w:hAnsi="Times New Roman CYR" w:cs="Times New Roman CYR"/>
                <w:sz w:val="24"/>
                <w:szCs w:val="24"/>
              </w:rPr>
              <w:lastRenderedPageBreak/>
              <w:t>Наглядової ради.</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Комітет з призначень складається з незалежних членів наглядової ради, які мають знання в галузі управління людськими ресурсами і навичками пошуку професіоналів до складу наглядової ради і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питань винагороди складається з незалежних членів наглядової ради, які мають знання щодо практик визначення винагороди та заохочення до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Більшість комітету з питань ризиків становлять незалежні члени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003DA6" w:rsidTr="0010026C">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4. Виконавчий орган</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 розробляє стратегію особи, яка затверджується рішенням Наглядової ради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Вiдповiдно до Статуту Товариства до компетенцiїДиректора  належить затвердження поточних планiв дiяльностi Товариства i заходiв, необхiдних для їхнього виконання.</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визначає ключові показники ефективності Виконавчому органу для відстеження прогресу у досягненні цілей особи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Визначення ключових показникiв ефективностi не здiйснюється, оскiльки це не є необхiдним.</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Виконавчий орган регулярно звітує Наглядовій раді про прогрес у впровадженні стратегії особи </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 компетенцiї Виконавчого органу розробка стратегiї особи не входить. На засiданнях наглядової ради виконавчий орган звiтує про результати фiнансово-господарської дiяльностi Товариства.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 інформує голову Наглядової ради про будь-які значні події, які сталися в період між засіданнями Наглядової ради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Iнформування голови Наглядової ради про будь-якi значнi подiї, якi сталися в перiод мiж засiданнями Наглядової ради, не передбачено внутрiшнiми документами Товариства, але фактично здiйснюється ДиректоромТовариства.</w:t>
            </w:r>
          </w:p>
        </w:tc>
      </w:tr>
      <w:tr w:rsidR="00003DA6" w:rsidTr="0010026C">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6. Винагорода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28.08.2025р. Структура управлiння в товариствi ОДНОРIВНЕВА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Члени наглядової ради,  винагороду за виконання обов'язкiв члена наглядової ради, в тому числi  у натуральнiй формi не отримували. Виконавчий орган (директор)  отримує винагороду у виглядi заробiтної плати, у розмiрi вiдповiдно до штатного розпису,  iншi винагороди, в тому числi  у натуральнiй формi винагороду не отримує. </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Розмір винагороди для виконавчого органу пов'язаний з результатами діяльності особи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Розмiр винагороди не залежить вiд фiнансового результату Товариства. Директор  не отримує окремої винагороди, крiм заробiтної плати.</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членів ради (невиконавчих директорів) є фіксованою та не залежить від досягнення особою фінансових показників</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Розмiр винагороди не залежить вiд фiнансового результату Товариства.  Члени Ради  були на безоплатнiй основi. Винагорода вiдсутня.</w:t>
            </w:r>
          </w:p>
        </w:tc>
      </w:tr>
      <w:tr w:rsidR="00003DA6" w:rsidTr="0010026C">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7. Розкриття інформації і прозорість</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затверджена та оприлюднена політика щодо розкриття інформації, яка визначає інформацію, що її повинна розкривати особа</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Окрема полiтика щодо розкриття iнформацiї не затверджена. В цiлому iнформацiя розкривається Товариством в обсягах, передбачених законодавством.</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забезпечуєскладання фінансових звітів особи відповідно до чинного законодавства та міжнародних стандартів фінансової звітності</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має невиконавчих директорiв.Наглядова рада та Загальнi збори розглядають звiт Директора та приймають рiшення за результатами їх розгляду. Iнше не потребує втручання Наглядової ради та вiдбувається вiдповiдно до чинного законодавства.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 особи містить окремий розділ, присвячений виключно питанням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Окремий роздiл не створено, який присвячено виключно питанням корпоративного управлiння.</w:t>
            </w:r>
          </w:p>
        </w:tc>
      </w:tr>
      <w:tr w:rsidR="00003DA6" w:rsidTr="0010026C">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8. Система контролю і стандарти етики</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створена система внутрішнього контролю, яка відповідає моделі концепції "трьох ліній захисту"</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створена.Наглядова рада забезпечує функцiонування належної системи контролю, а також здiйснення стратегiчного контролю за фiнансово-господарською дiяльнiстю Товариства;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має механізми внутрішнього контролю особи, маючи змогу залучити внутрішнього аудитора та зовнішнього аудитора</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Наглядова рада має змогу залучити зовнiшнього аудитора. Товариство не має невиконавих директорiв ради директорiв </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Функція комплаєнс та ризик-менеджменту підзвітна раді (невиконавчим директорам ради директорів)</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товариства не має невиконавих директорiв ради директорiв . Функцiя комплаєнс та ризик-менеджменту вiдсутня</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політику з питань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Полiтику з питань управлiння ризиками у Товариствi не затверджено, оскiльки її обов'язкова наявнiсть не передбачена законодавством.</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декларацію схильності до ризиків</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УТовариствi не затверджено декларацiю схильностi до ризикiв. Вiдсутня дана практика.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Рада (невиконавчі директори ради директорів) розглядає звіт щодо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Вiдсутня дана практика. У товариства не має невиконавчих директорiв ради директорiв </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кодекс етики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немає кодексу етики. Зазначений кодекс не оприлюднювався.</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забезпечено можливість анонімно і безпечно повідомляти про неправомірну чи неетичну поведінку</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 дана практика.Окремого документу, який регулює полiтику конфлiкту iнтересiв в Товариствi немає, запобiгання конфлiкту iнтересiв здiйснюється на пiдставi Статуту та чинного законодавства.</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політику щодо запобігання корупції</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Товариствi немає антикорупцiйної програми та полiтики щодо запобiгання корупцiї. Зазначена програма не оприлюднювалась.</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документу про полiтику щодо запобiгання корупцiї не затверджено, запобiгання корупцiї здiйснюється вiдповiдно до чинного законодавства.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політику щодо конфлікту інтересів, яка покриває такі питання:</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 конфлікту інтересів, запобігання і управління конфліктом інтересів;</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правочинів із заінтересованістю;</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інсайдерської торгівлі; та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 зловживання службовим становищем</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документу, який регулює полiтику конфлiкту iнтересiв в Товариствi немає, запобiгання конфлiкту iнтересiв здiйснюється на пiдставi Статуту та чинного законодавства.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 дана практика.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tc>
      </w:tr>
      <w:tr w:rsidR="00003DA6" w:rsidTr="0010026C">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9. Оцінка корпоративного управління</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формалізована процедура щорічної самооцінки членів ради</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Емiтент не провадить практику корпоративного управлiння щодо оцiнки корпоративного управлiння, яка застосовується понад встановленнi законодавством вимоги чи суперечить законодавству. В Товариствi вiдсутня процедура щорiчної самооцiнки членiв ради.</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 результатами щорічної самооцінки членів ради розробляється план дій для підвищення ефективності роботи членів ради та практик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Статутом та внутрiшнiми документами Товариства не передбачено розробка плану дiй для пiдвищення ефективностi роботи Наглядової ради, оскiльки це не є необхiдним.</w:t>
            </w:r>
          </w:p>
        </w:tc>
      </w:tr>
      <w:tr w:rsidR="00003DA6" w:rsidTr="0010026C">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Кожні три роки проводиться комплексна оцінка системи корпоративного управління із залученням незалежного зовнішнього експерта</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Статутом та внутрiшнiми документами Товариства не передбачено проведення комплексної оцiнки системи корпоративного управлiння кожнi три роки, оскiльки це не є необхiдним.</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Частина 2. Інформація про загальні збори акціонерів (учасників) та загальний опис прийнятих на </w:t>
      </w:r>
      <w:r>
        <w:rPr>
          <w:rFonts w:ascii="Times New Roman CYR" w:hAnsi="Times New Roman CYR" w:cs="Times New Roman CYR"/>
          <w:b/>
          <w:bCs/>
          <w:sz w:val="24"/>
          <w:szCs w:val="24"/>
        </w:rPr>
        <w:lastRenderedPageBreak/>
        <w:t>таких зборах рішень: 1 (1)</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7000"/>
      </w:tblGrid>
      <w:tr w:rsidR="00003DA6" w:rsidTr="0010026C">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Дата проведення</w:t>
            </w:r>
          </w:p>
        </w:tc>
        <w:tc>
          <w:tcPr>
            <w:tcW w:w="7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28.08.2025</w:t>
            </w:r>
          </w:p>
        </w:tc>
      </w:tr>
      <w:tr w:rsidR="00003DA6" w:rsidTr="0010026C">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Спосіб проведення</w:t>
            </w:r>
          </w:p>
        </w:tc>
        <w:tc>
          <w:tcPr>
            <w:tcW w:w="7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X</w:t>
            </w:r>
            <w:r>
              <w:rPr>
                <w:rFonts w:ascii="Times New Roman CYR" w:hAnsi="Times New Roman CYR" w:cs="Times New Roman CYR"/>
                <w:sz w:val="24"/>
                <w:szCs w:val="24"/>
              </w:rPr>
              <w:tab/>
              <w:t>очне голосування, місце проведення: Загальнi збори проводяться шляхом спiльного зiбрання:</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Україна,  88015 м. Ужгород, вул.Василя Гаджеги,2, каб.директора.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електронне голосування</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опитування (дистанційно)</w:t>
            </w:r>
          </w:p>
        </w:tc>
      </w:tr>
      <w:tr w:rsidR="00003DA6" w:rsidTr="0010026C">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Суб'єкт скликання</w:t>
            </w:r>
          </w:p>
        </w:tc>
        <w:tc>
          <w:tcPr>
            <w:tcW w:w="7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Емiтен</w:t>
            </w:r>
          </w:p>
        </w:tc>
      </w:tr>
      <w:tr w:rsidR="00003DA6" w:rsidTr="0010026C">
        <w:tblPrEx>
          <w:tblCellMar>
            <w:top w:w="0" w:type="dxa"/>
            <w:bottom w:w="0" w:type="dxa"/>
          </w:tblCellMar>
        </w:tblPrEx>
        <w:trPr>
          <w:trHeight w:val="200"/>
        </w:trPr>
        <w:tc>
          <w:tcPr>
            <w:tcW w:w="10000" w:type="dxa"/>
            <w:gridSpan w:val="2"/>
            <w:tcBorders>
              <w:top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Питання порядку денного та прийняті рішення:</w:t>
            </w:r>
          </w:p>
        </w:tc>
      </w:tr>
      <w:tr w:rsidR="00003DA6" w:rsidTr="0010026C">
        <w:tblPrEx>
          <w:tblCellMar>
            <w:top w:w="0" w:type="dxa"/>
            <w:bottom w:w="0" w:type="dxa"/>
          </w:tblCellMar>
        </w:tblPrEx>
        <w:trPr>
          <w:trHeight w:val="200"/>
        </w:trPr>
        <w:tc>
          <w:tcPr>
            <w:tcW w:w="10000" w:type="dxa"/>
            <w:gridSpan w:val="2"/>
            <w:tcBorders>
              <w:top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ПОРЯДОК ДЕННИЙ:</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r>
              <w:rPr>
                <w:rFonts w:ascii="Times New Roman CYR" w:hAnsi="Times New Roman CYR" w:cs="Times New Roman CYR"/>
                <w:sz w:val="24"/>
                <w:szCs w:val="24"/>
              </w:rPr>
              <w:tab/>
              <w:t>Обрання лiчильної комiсiї загальних зборiв Товариства та прийняття рiшення про припинення повноважень лiчильної комiсiї.</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w:t>
            </w:r>
            <w:r>
              <w:rPr>
                <w:rFonts w:ascii="Times New Roman CYR" w:hAnsi="Times New Roman CYR" w:cs="Times New Roman CYR"/>
                <w:sz w:val="24"/>
                <w:szCs w:val="24"/>
              </w:rPr>
              <w:tab/>
              <w:t>Обрання Голови та Секретаря загальних зборiв акцiонерiв  Товариства.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w:t>
            </w:r>
            <w:r>
              <w:rPr>
                <w:rFonts w:ascii="Times New Roman CYR" w:hAnsi="Times New Roman CYR" w:cs="Times New Roman CYR"/>
                <w:sz w:val="24"/>
                <w:szCs w:val="24"/>
              </w:rPr>
              <w:tab/>
              <w:t xml:space="preserve">Затвердження  регламенту загальних зборiв Товариства. </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w:t>
            </w:r>
            <w:r>
              <w:rPr>
                <w:rFonts w:ascii="Times New Roman CYR" w:hAnsi="Times New Roman CYR" w:cs="Times New Roman CYR"/>
                <w:sz w:val="24"/>
                <w:szCs w:val="24"/>
              </w:rPr>
              <w:tab/>
              <w:t>Розгляд звiту директора  про результатами  фiнансово-господарської  дiяльностi  Товариства за 2019-2024 роки. Прийняття рiшення за результатами розгляду звiту директора.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w:t>
            </w:r>
            <w:r>
              <w:rPr>
                <w:rFonts w:ascii="Times New Roman CYR" w:hAnsi="Times New Roman CYR" w:cs="Times New Roman CYR"/>
                <w:sz w:val="24"/>
                <w:szCs w:val="24"/>
              </w:rPr>
              <w:tab/>
              <w:t>Розгляд звiту Наглядової  ради Товариства за 2019-2024 роки. Прийняття рiшення за результатами розгляду звiту Наглядової ради.</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w:t>
            </w:r>
            <w:r>
              <w:rPr>
                <w:rFonts w:ascii="Times New Roman CYR" w:hAnsi="Times New Roman CYR" w:cs="Times New Roman CYR"/>
                <w:sz w:val="24"/>
                <w:szCs w:val="24"/>
              </w:rPr>
              <w:tab/>
              <w:t>Затвердження результатiв фiнансово-господарської дiяльностi Товариства за 2019 р., 2020 р., 2021 р., 2022 р., 2023 р. та 2024 р. Розподiл прибутку товариства  за пiдсумками  дiяльностi Товариства.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w:t>
            </w:r>
            <w:r>
              <w:rPr>
                <w:rFonts w:ascii="Times New Roman CYR" w:hAnsi="Times New Roman CYR" w:cs="Times New Roman CYR"/>
                <w:sz w:val="24"/>
                <w:szCs w:val="24"/>
              </w:rPr>
              <w:tab/>
              <w:t xml:space="preserve">Внеення змiн та доповнень до статуту  Товариства шляхом його викладення в новiй редакцiї. Затвердження  нової  редакцiї статуту Товариства. Визначення осiб, уповноважених на пiдписання статуту Товариства на вчинення дiй з його державної реєстрацiї. </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w:t>
            </w:r>
            <w:r>
              <w:rPr>
                <w:rFonts w:ascii="Times New Roman CYR" w:hAnsi="Times New Roman CYR" w:cs="Times New Roman CYR"/>
                <w:sz w:val="24"/>
                <w:szCs w:val="24"/>
              </w:rPr>
              <w:tab/>
              <w:t>Затвердження внутрiшнiх положень Товариства: "Положення про загальнi збори акцiонерiв Товариства",  "Положення про виконавчий орган Товариства"..</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9.</w:t>
            </w:r>
            <w:r>
              <w:rPr>
                <w:rFonts w:ascii="Times New Roman CYR" w:hAnsi="Times New Roman CYR" w:cs="Times New Roman CYR"/>
                <w:sz w:val="24"/>
                <w:szCs w:val="24"/>
              </w:rPr>
              <w:tab/>
              <w:t>Припинення повноважень членiв Наглядової ради у зв'язку з закiнченням термiну повноважень.</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Шкрiбляк Андрiй Миколайович </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Товт Наталiя Андрiївна </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10.</w:t>
            </w:r>
            <w:r>
              <w:rPr>
                <w:rFonts w:ascii="Times New Roman CYR" w:hAnsi="Times New Roman CYR" w:cs="Times New Roman CYR"/>
                <w:sz w:val="24"/>
                <w:szCs w:val="24"/>
              </w:rPr>
              <w:tab/>
              <w:t xml:space="preserve">Про обрання (продовження термiну повноважень)  Директора Товариства, затвердження умов контракту з Директором, визначення особи на його пiдписання. </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11.</w:t>
            </w:r>
            <w:r>
              <w:rPr>
                <w:rFonts w:ascii="Times New Roman CYR" w:hAnsi="Times New Roman CYR" w:cs="Times New Roman CYR"/>
                <w:sz w:val="24"/>
                <w:szCs w:val="24"/>
              </w:rPr>
              <w:tab/>
              <w:t>Надання попередньої згоди на вчинення значних правочинiв, якi можуть вчинятись Товариством в ходi поточної господарської дiяльностi протягом одного року з дати проведення даних позачергових  загальних зборiв акцiонерiв. Надання повноважень Директору Товариства права на укладання та пiдписання значних правочинiв.</w:t>
            </w:r>
          </w:p>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Всi питання розглянутi i прийнятi.</w:t>
            </w:r>
          </w:p>
        </w:tc>
      </w:tr>
      <w:tr w:rsidR="00003DA6" w:rsidTr="0010026C">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URL-адреса протоколу загальних зборів:</w:t>
            </w:r>
          </w:p>
        </w:tc>
        <w:tc>
          <w:tcPr>
            <w:tcW w:w="7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http://atp-12107.emitents.net.ua/ua/docs/?fg_id=102</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проведені засідання ради та загальний опис прийнятих рішень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000"/>
        <w:gridCol w:w="8000"/>
      </w:tblGrid>
      <w:tr w:rsidR="00003DA6" w:rsidTr="0010026C">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Кількість засідань ради у звітному періоді:</w:t>
            </w:r>
          </w:p>
        </w:tc>
        <w:tc>
          <w:tcPr>
            <w:tcW w:w="8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r>
      <w:tr w:rsidR="00003DA6" w:rsidTr="0010026C">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них очних:</w:t>
            </w:r>
          </w:p>
        </w:tc>
        <w:tc>
          <w:tcPr>
            <w:tcW w:w="8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r>
      <w:tr w:rsidR="00003DA6" w:rsidTr="0010026C">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них заочних:</w:t>
            </w:r>
          </w:p>
        </w:tc>
        <w:tc>
          <w:tcPr>
            <w:tcW w:w="8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003DA6" w:rsidTr="0010026C">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 ключових рішень ради:</w:t>
            </w:r>
          </w:p>
        </w:tc>
        <w:tc>
          <w:tcPr>
            <w:tcW w:w="8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Питання щодо необхiдностi проведення рiчних загальних зборiв у 2025 роцi. </w:t>
            </w:r>
          </w:p>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З 28.08.2025р. Структура управлiння в товариствi ОДНОРIВНЕВА</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одноосібний виконавчий орган та загальний опис прийнятих рішень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500"/>
        <w:gridCol w:w="6500"/>
      </w:tblGrid>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керівника, термін повноважень у звітному періоді</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Козун Володимир Iванович   з 28.05.2025р. термiн повноважень 5 рокiв.</w:t>
            </w: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 ключових рішень керівника</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Всi рiшення стосувалися поточної господарської дiяльностi Товариства. Ключовi рiшення стосовно управлiння Товариством не приймалися.</w:t>
            </w: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заступника(ів) керівника, термін повноважень у звітному періоді</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Сфера відповідальності заступника керівника</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та посада особи, яка виконувала обов'язки керівника у звітному періоді, період протягом якого особа здійснювала виконання обов'язків керівника</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 виконавчого органу</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Зазначається така iнформацiя:</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оцiнка складу, структури та дiяльностi виконавчого органу; Виконавчий орган одноосiбний  - директор, без  комiтетiв.</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оцiнка компетентностi та ефективностi керiвника та заступникiв керiвника/голови та членiв колегiального виконавчого органу, включаючи iнформацiю про його дiяльнiсть як посадової особи iнших юридичних осiб або iншу дiяльнiсть - оплачувану i безоплатну;</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Директор товариства компетентний в питаннях керiвництва Товариством, в вирiшеннi питань поточної дiяльностi товариства в межах Статуту Товариства та Положення Про директора Товариства.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оцiнка виконання виконавчим органом поставлених цiлей особи. В межах цього пункту зазначається iнформацiя щодо впливу рiшень, прийнятих виконавчих органом протягом звiтного перiоду, на досягнення поставлених перед особою стратегiчних цiлей. При цьому iнформацiя щодо стратегiчних цiлей особи має мiстити загальний опис таких стратегiчних цiлей i не потребує розкриття iнформацiї (показникiв), що, згiдно внутрiшнiх документiв особи належить до iнформацiї з обмеженим доступом (конфiденцiйної iнформацiї та комерцiйної таємницi);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Директор цiлком виконує поставленi зборами акцiонерiв цiлi Товариства. Директор володiє глибокими знаннями у сферi стратегiчного управлiння, Його досвiд включає багаторiчну роботу на керiвнiй посадi.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iнформацiя про те, яким чином дiяльнiсть виконавчого органу зумовила змiни у фiнансово-господарськiй дiяльностi особи</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Змiн у фiнансово-господарськiй дiяльностi  у звiтному роцi не було.</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звiтньому роцi дiяльнiсть товариства здiйснювалася в умовах тривалого воєнного стану та збереження суттєвих обмежень у господарськiй дiяльностi.  Рiшення, прийнятi протягом року, мали переважно оперативний i стабiлiзацiйний характер.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iснуючих умовах господарювання в умовах воєнного стану, у зв'язку з вiйськовою агресiєю росiйської федерацiї проти України, неможливо впевнено робити навiть короткостроковi прогнози чи детальнi плани щодо дiяльностi пiдприємства.</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Окрема оцiнка дiяльностi виконавчого органу вiдсутня.</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 позачергових зборах 28.08.2025р.</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З ПИТАННЯ №4 ПОРЯДКУ ДЕННОГО:  Розгляд звiту директора  про результатами  фiнансово-господарської  дiяльностi  Товариства за 2019-2024 роки. Прийняття рiшення за результатами розгляду звiту директора.</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Проект рiшення: </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Затвердити звiт Директора про результати фiнансово-господарської дiяльностi Товариства за 2019-2024 роки.</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7. Опис основних характеристик систем внутрішнього контролю особи, а також перелік структурних підрозділів особи, які здійснюють ключові обов'язки щодо забезпечення роботи систем внутрішнього контролю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500"/>
        <w:gridCol w:w="6500"/>
      </w:tblGrid>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Система внутрішнього контролю передбачає модель трьох ліній захисту</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Опис функцій підрозділів першої лінії захисту та перелік ключових підрозділів</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Товариством не створювались пiдроздiли першої лiнiї захисту.</w:t>
            </w: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підрозділів та опис функцій підрозділів другої лінії захисту</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Товариством не створювались пiдроздiли другої лiнiї захисту.</w:t>
            </w: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Перелік підрозділів та опис функцій підрозділів третьої лінії захисту</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Товариством не створювались пiдроздiли третьої лiнiї захисту</w:t>
            </w: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Наявність затвердженого документу (документів), який(які) визначає(ють) політику системи внутрішнього контролю (у тому числі щодо системи комплаєнс та внутрішнього аудиту)</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основних внутрішніх документів щодо системи внутрішнього контролю (у тому числі щодо системи комплаєнс та внутрішнього аудиту)</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Система внутрiшнього контролю i управлiння ризиками визначає всi внутрiшнi правила та процедури контролю, запровадженi керiвництвом Товариства для досягнення поставленої мети - забезпечення (в межах можливого) стабiльного i ефективного функцiонування Товариства, дотримання внутрiшньогосподарської полiтики, збереження та рацiонального використання активiв Товариства, запобiгання та викриття фальсифiкацiй та помилок, точностi i повноти бухгалтерських записiв, своєчасної пiдготовки надiйної фiнансової iнформацiї. Особами, вiдповiдальними за ведення бухгалтерського облiку Товариства є Директор та головний бухгалтер Товариства. Окремого Положення про "Системи внутрiшнього контролю" в Товариствi немає, оскiльки його обов'язкова наявнiсть не передбачена чинним законодавством.</w:t>
            </w: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та номер рішення про затвердження звіту щодо системи внутрішнього контролю (у тому числі комплаєнс-ризиків)</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х</w:t>
            </w: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Основні положення звіту системи внутрішнього контролю (у тому </w:t>
            </w:r>
            <w:r>
              <w:rPr>
                <w:rFonts w:ascii="Times New Roman CYR" w:hAnsi="Times New Roman CYR" w:cs="Times New Roman CYR"/>
              </w:rPr>
              <w:lastRenderedPageBreak/>
              <w:t>числі комплаєнс-ризиків)</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lastRenderedPageBreak/>
              <w:t xml:space="preserve">У Товариствi не створена системи внутрiшнього контролю. Звiт системи внутрiшнього контролю не складався i не </w:t>
            </w:r>
            <w:r>
              <w:rPr>
                <w:rFonts w:ascii="Times New Roman CYR" w:hAnsi="Times New Roman CYR" w:cs="Times New Roman CYR"/>
              </w:rPr>
              <w:lastRenderedPageBreak/>
              <w:t>затверджувався.</w:t>
            </w: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Наявність затвердженої декларації схильності до ризиків</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Опис основних положень декларації схильності до ризиків</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Декларацiя схильностi до ризикiв вiдсутня.</w:t>
            </w: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Назва органу, який прийняв рішення про затвердження декларації схильності до ризиків</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Декларацiя схильностi до ризикiв вiдсутня.</w:t>
            </w:r>
          </w:p>
        </w:tc>
      </w:tr>
      <w:tr w:rsidR="00003DA6" w:rsidTr="0010026C">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та номер рішення про затвердження декларації схильності до ризиків</w:t>
            </w:r>
          </w:p>
        </w:tc>
        <w:tc>
          <w:tcPr>
            <w:tcW w:w="6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Х</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8. Інформація щодо осіб, які прямо або опосередковано є власниками значного пакета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750"/>
        <w:gridCol w:w="1750"/>
        <w:gridCol w:w="1750"/>
        <w:gridCol w:w="1750"/>
      </w:tblGrid>
      <w:tr w:rsidR="00003DA6" w:rsidTr="0010026C">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 або повне найменування акціонера</w:t>
            </w:r>
          </w:p>
        </w:tc>
        <w:tc>
          <w:tcPr>
            <w:tcW w:w="17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17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17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значного пакета акцій</w:t>
            </w:r>
          </w:p>
        </w:tc>
        <w:tc>
          <w:tcPr>
            <w:tcW w:w="175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пакета акцій, що знаходиться в прямому та (опосередкованому) володінні</w:t>
            </w:r>
          </w:p>
        </w:tc>
      </w:tr>
      <w:tr w:rsidR="00003DA6" w:rsidTr="0010026C">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w:t>
            </w:r>
          </w:p>
        </w:tc>
        <w:tc>
          <w:tcPr>
            <w:tcW w:w="17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18486750</w:t>
            </w:r>
          </w:p>
        </w:tc>
        <w:tc>
          <w:tcPr>
            <w:tcW w:w="175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18486750</w:t>
            </w:r>
          </w:p>
        </w:tc>
      </w:tr>
      <w:tr w:rsidR="00003DA6" w:rsidTr="0010026C">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 Андрiїв Тетяна Андрiївна</w:t>
            </w:r>
          </w:p>
        </w:tc>
        <w:tc>
          <w:tcPr>
            <w:tcW w:w="17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19163221</w:t>
            </w:r>
          </w:p>
        </w:tc>
        <w:tc>
          <w:tcPr>
            <w:tcW w:w="175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19163221</w:t>
            </w:r>
          </w:p>
        </w:tc>
      </w:tr>
      <w:tr w:rsidR="00003DA6" w:rsidTr="0010026C">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 Мiкловцик Крiстна Юлiївна</w:t>
            </w:r>
          </w:p>
        </w:tc>
        <w:tc>
          <w:tcPr>
            <w:tcW w:w="17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14203537</w:t>
            </w:r>
          </w:p>
        </w:tc>
        <w:tc>
          <w:tcPr>
            <w:tcW w:w="175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14203537</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2) звіт про сталий розвиток</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
        <w:gridCol w:w="4700"/>
        <w:gridCol w:w="5000"/>
      </w:tblGrid>
      <w:tr w:rsidR="00003DA6" w:rsidTr="0010026C">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9700" w:type="dxa"/>
            <w:gridSpan w:val="2"/>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Оцінка діяльності щодо захисту довкілля та соціальної відповідальності за звітний період:</w:t>
            </w:r>
          </w:p>
        </w:tc>
      </w:tr>
      <w:tr w:rsidR="00003DA6" w:rsidTr="0010026C">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w:t>
            </w:r>
          </w:p>
        </w:tc>
      </w:tr>
      <w:tr w:rsidR="00003DA6" w:rsidTr="0010026C">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9700" w:type="dxa"/>
            <w:gridSpan w:val="2"/>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ризики і виклики щодо захисту довкілля та соціальної відповідальності, плани щодо їх вирішення, а також їх вплив на досягнення стратегічних цілей:</w:t>
            </w:r>
          </w:p>
        </w:tc>
      </w:tr>
      <w:tr w:rsidR="00003DA6" w:rsidTr="0010026C">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Перелік ризиків щодо захисту довкілля та соціальної відповідальності, які мають вплив на особу:</w:t>
            </w:r>
          </w:p>
        </w:tc>
        <w:tc>
          <w:tcPr>
            <w:tcW w:w="5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не визначало ризкiв щодо захисту довкiлля та соцiальної вiдповiдальностi, якi мають вплив на Товариство.</w:t>
            </w:r>
          </w:p>
        </w:tc>
      </w:tr>
      <w:tr w:rsidR="00003DA6" w:rsidTr="0010026C">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Заходи, які планується здійснити / здійснюються для мінімізації/усунення кожного із ризиків:</w:t>
            </w:r>
          </w:p>
        </w:tc>
        <w:tc>
          <w:tcPr>
            <w:tcW w:w="5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003DA6" w:rsidTr="0010026C">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9700" w:type="dxa"/>
            <w:gridSpan w:val="2"/>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положення політики з питань захисту довкілля та соціальної відповідальності:</w:t>
            </w:r>
          </w:p>
        </w:tc>
      </w:tr>
      <w:tr w:rsidR="00003DA6" w:rsidTr="0010026C">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політик з питань захисту довкілля та соціальної відповідальності та опис питань, які такі політики покликані вирішити:</w:t>
            </w:r>
          </w:p>
        </w:tc>
        <w:tc>
          <w:tcPr>
            <w:tcW w:w="5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Полiтика з питань захисту довкiлля та соцiальної вiдповiдальностi вiдсутня.</w:t>
            </w:r>
          </w:p>
        </w:tc>
      </w:tr>
      <w:tr w:rsidR="00003DA6" w:rsidTr="0010026C">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9700" w:type="dxa"/>
            <w:gridSpan w:val="2"/>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питань та прийнятих рішень щодо захисту довкілля та соціальної відповідальності, які розглядались радою та виконавчим органом:</w:t>
            </w:r>
          </w:p>
        </w:tc>
      </w:tr>
      <w:tr w:rsidR="00003DA6" w:rsidTr="0010026C">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Перелік питань, які розглядались виконавчим органом та короткий зміст рішень, які було прийнято:</w:t>
            </w:r>
          </w:p>
        </w:tc>
        <w:tc>
          <w:tcPr>
            <w:tcW w:w="5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Питання щодо захисту довкiлля та соцiальної вiдповiдальностi не розглядалися</w:t>
            </w:r>
          </w:p>
        </w:tc>
      </w:tr>
      <w:tr w:rsidR="00003DA6" w:rsidTr="0010026C">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Перелік питань, які розглядались радою та короткий зміст рішень, які було прийнято:</w:t>
            </w:r>
          </w:p>
        </w:tc>
        <w:tc>
          <w:tcPr>
            <w:tcW w:w="5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003DA6" w:rsidTr="0010026C">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9700" w:type="dxa"/>
            <w:gridSpan w:val="2"/>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Перелік ключових стейкхолдерів, на яких має вплив діяльність особи із зазначенням </w:t>
            </w:r>
            <w:r>
              <w:rPr>
                <w:rFonts w:ascii="Times New Roman CYR" w:hAnsi="Times New Roman CYR" w:cs="Times New Roman CYR"/>
                <w:sz w:val="24"/>
                <w:szCs w:val="24"/>
              </w:rPr>
              <w:lastRenderedPageBreak/>
              <w:t>обґрунтування в чому саме полягає такий вплив:</w:t>
            </w:r>
          </w:p>
        </w:tc>
      </w:tr>
      <w:tr w:rsidR="00003DA6" w:rsidTr="0010026C">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003DA6" w:rsidTr="0010026C">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9700" w:type="dxa"/>
            <w:gridSpan w:val="2"/>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стейкхолдерів, які мають вплив на досягнення особою стратегічних цілей із зазначенням обґрунтування в чому саме полягає такий вплив:</w:t>
            </w:r>
          </w:p>
        </w:tc>
      </w:tr>
      <w:tr w:rsidR="00003DA6" w:rsidTr="0010026C">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 Товариства, який володiє контрольним пакетом акцiй для прийняття рiшення на загальних зборах акцiонерiв.</w:t>
            </w:r>
          </w:p>
        </w:tc>
      </w:tr>
      <w:tr w:rsidR="00003DA6" w:rsidTr="0010026C">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9700" w:type="dxa"/>
            <w:gridSpan w:val="2"/>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положення політики щодо взаємодії зі стейкхолдерами, у тому числі акціонерами/учасниками:</w:t>
            </w:r>
          </w:p>
        </w:tc>
      </w:tr>
      <w:tr w:rsidR="00003DA6" w:rsidTr="0010026C">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Полiтика щодо взаємодiї зi стейкхолдерами вiдсутня.</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VI. Список посилань на регульовану інформацію, яка була розкрита протягом звітного року</w:t>
      </w:r>
    </w:p>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2. Особлива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450"/>
        <w:gridCol w:w="1500"/>
        <w:gridCol w:w="5500"/>
      </w:tblGrid>
      <w:tr w:rsidR="00003DA6" w:rsidTr="0010026C">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24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особливої інформації</w:t>
            </w:r>
          </w:p>
        </w:tc>
        <w:tc>
          <w:tcPr>
            <w:tcW w:w="1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розкриття інформації</w:t>
            </w:r>
          </w:p>
        </w:tc>
        <w:tc>
          <w:tcPr>
            <w:tcW w:w="55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URL-адреси, за якими розміщена інформація, яка розкривалася протягом звітного року</w:t>
            </w:r>
          </w:p>
        </w:tc>
      </w:tr>
      <w:tr w:rsidR="00003DA6" w:rsidTr="0010026C">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45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5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5500"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3DA6" w:rsidTr="0010026C">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4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Відомості про зміну складу посадових осіб емітента</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Позачерговi загальнi збори акцiонерiв, якi вiдбулись  28.08.2025 р. прийняли рiшення  про   змiну складу посадових осiб емiтента. Позачерговi загальнi збори проведено очно. Згiдно рiшення зборiв: у  зв'язку з закiнченням термiну повноважень припинено повноваження Голови Наглядової ради Шкрiбляк Андрiя Миколайовича, . Члена  Наглядової ради Товт Наталiї Андрiївни.  Згiдно нової редакцiї статуту Наглядова рада  не передбачена, члени наглядової ради не обираються.</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Загальнi збори акцiонерiв, якi вiдбулись  28.08.2025 р. прийняли рiшення  про   змiну складу посадових осiб емiтента. Позачерговi  загальнi збори проведено очно. Згiдно рiшення загальних зборiв,  прийнятою Новою редакцiєю Статуту товариства та  </w:t>
            </w:r>
            <w:r>
              <w:rPr>
                <w:rFonts w:ascii="Times New Roman CYR" w:hAnsi="Times New Roman CYR" w:cs="Times New Roman CYR"/>
              </w:rPr>
              <w:lastRenderedPageBreak/>
              <w:t xml:space="preserve">у зв'язку з закiнченням термiну повноважень Директора  Акцiонерного товариства "Ужгородське автотранспортне пiдприємтсво 12107"  Козун Володимира Iвановича  обрано (продовжено повноваження) Директору  Акцiонерного товариства"Ужгородське автотранспортне пiдприємтсво 12107"   Козун Володимиру Iвановичу  з 28.08.2025 року термiном на 5 рокiв. </w:t>
            </w: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30.08.2025</w:t>
            </w:r>
          </w:p>
        </w:tc>
        <w:tc>
          <w:tcPr>
            <w:tcW w:w="5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http://atp-12107.emitents.net.ua/ua/docs/?fg_id=101</w:t>
            </w:r>
          </w:p>
        </w:tc>
      </w:tr>
      <w:tr w:rsidR="00003DA6" w:rsidTr="0010026C">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2</w:t>
            </w:r>
          </w:p>
        </w:tc>
        <w:tc>
          <w:tcPr>
            <w:tcW w:w="24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Відомості про прийняття рішення про попереднє надання згоди на вчинення значних правочинів</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Рiшенням позачергових загальних зборiв акцiонерiв Товариства, якi були проведенi очно 28.08.2025р.прийнято  рiшення про попередньо надання згоди на вчинення Товариством значних правочинiв.</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         Предметом правочину є: попередньо надати згоду на вчинення Товариством значних правочинiв,  що можуть вчинятись Товариством протягом не бiльш як 1 (одного) року з дати ухвалення цього рiшення, зокрема,</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на вчинення   Товариством правочинiв щодо придбання, вiдчуження, оренду, лiзинг майна, надання та отримання позик, </w:t>
            </w:r>
            <w:r>
              <w:rPr>
                <w:rFonts w:ascii="Times New Roman CYR" w:hAnsi="Times New Roman CYR" w:cs="Times New Roman CYR"/>
              </w:rPr>
              <w:lastRenderedPageBreak/>
              <w:t>кредитiв, отримання гарантiй та акредитивiв, продовження строкiв, термiнiв дiї, перегляд iстотних умов таких правочинiв), предметом яких є майно, грошовi кошти, роботи або послуги, ринкова вартiсть кожного з яких перевищує 25 вiдсоткiв вартостi активiв за даними останньої рiчної фiнансової Товариства, що можуть вчинятися Товариством протягом не бiльш як одного року з дати ухвалення цього рiшення. Гранична сукупна вартiсть таких правочинiв не повинна перевищувати 10 000 000,00 (Десять мiльйонiв гривень 00 копiйок). Уповноважити Директора Товариства Козун Володимира Iвановича самостiйно визначати умови таких правочинiв та надати йому повноваження на їх укладання i пiдписання.</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         Гранична сукупна вартiсть правочинiв складає  10 000.00 тис.грн.</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         Вартiсть активiв товариства за 2024 рiк складає 22 988.00  тис.грн.</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         Спiввiдношення граничної сукупностi вартостi активiв емiтента за  даними останньої рiчної фiнансової звiтностi ( у вiдсотках) 43,5009570211</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кiлькiсть голосуючих акцiй  51 853 508  штук.</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Загальна кiлькiсть голосуючих акцiй  51 853 508  штук.</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Кiлькiсть голосуючих акцiй, що зареєструвалися для  участi у  загальних зборах 51 853 508 штук.</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Кiлькiсть голосуючих акцiй, що проголосували "ЗА"  прийняття рiшення 51 853 508  штук, що становить 100% вiд кiлькостi голосiв акцiонерiв, якi зареєструвалися для участi у загальних зборах та є власниками голосуючих простих iменних акцiй. </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Кiлькiсть голосуючих акцiй, що проголосували "Проти" прийняття рiшення - 0 штук.</w:t>
            </w: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30.08.2025</w:t>
            </w:r>
          </w:p>
        </w:tc>
        <w:tc>
          <w:tcPr>
            <w:tcW w:w="55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http://atp-12107.emitents.net.ua/ua/docs/?fg_id=101</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rPr>
        <w:sectPr w:rsidR="00003DA6">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66"/>
        <w:gridCol w:w="1654"/>
        <w:gridCol w:w="1720"/>
      </w:tblGrid>
      <w:tr w:rsidR="00003DA6" w:rsidTr="0010026C">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003DA6" w:rsidTr="0010026C">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003DA6" w:rsidRDefault="00003DA6" w:rsidP="0010026C">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01.01.2026</w:t>
            </w:r>
          </w:p>
        </w:tc>
      </w:tr>
      <w:tr w:rsidR="00003DA6" w:rsidTr="0010026C">
        <w:tblPrEx>
          <w:tblCellMar>
            <w:top w:w="0" w:type="dxa"/>
            <w:bottom w:w="0" w:type="dxa"/>
          </w:tblCellMar>
        </w:tblPrEx>
        <w:trPr>
          <w:trHeight w:val="298"/>
        </w:trPr>
        <w:tc>
          <w:tcPr>
            <w:tcW w:w="2160" w:type="dxa"/>
            <w:tcBorders>
              <w:top w:val="nil"/>
              <w:left w:val="nil"/>
              <w:bottom w:val="nil"/>
              <w:right w:val="nil"/>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654" w:type="dxa"/>
            <w:tcBorders>
              <w:top w:val="nil"/>
              <w:left w:val="nil"/>
              <w:bottom w:val="nil"/>
              <w:right w:val="single" w:sz="6" w:space="0" w:color="auto"/>
            </w:tcBorders>
            <w:vAlign w:val="center"/>
          </w:tcPr>
          <w:p w:rsidR="00003DA6" w:rsidRDefault="00003DA6" w:rsidP="0010026C">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r w:rsidR="00003DA6" w:rsidTr="0010026C">
        <w:tblPrEx>
          <w:tblCellMar>
            <w:top w:w="0" w:type="dxa"/>
            <w:bottom w:w="0" w:type="dxa"/>
          </w:tblCellMar>
        </w:tblPrEx>
        <w:trPr>
          <w:trHeight w:val="298"/>
        </w:trPr>
        <w:tc>
          <w:tcPr>
            <w:tcW w:w="2160" w:type="dxa"/>
            <w:tcBorders>
              <w:top w:val="nil"/>
              <w:left w:val="nil"/>
              <w:bottom w:val="nil"/>
              <w:right w:val="nil"/>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Територія</w:t>
            </w:r>
          </w:p>
        </w:tc>
        <w:tc>
          <w:tcPr>
            <w:tcW w:w="4466" w:type="dxa"/>
            <w:tcBorders>
              <w:top w:val="nil"/>
              <w:left w:val="nil"/>
              <w:bottom w:val="nil"/>
              <w:right w:val="nil"/>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Закарпатська обл.</w:t>
            </w:r>
          </w:p>
        </w:tc>
        <w:tc>
          <w:tcPr>
            <w:tcW w:w="1654" w:type="dxa"/>
            <w:tcBorders>
              <w:top w:val="nil"/>
              <w:left w:val="nil"/>
              <w:bottom w:val="nil"/>
              <w:right w:val="single" w:sz="6" w:space="0" w:color="auto"/>
            </w:tcBorders>
            <w:vAlign w:val="center"/>
          </w:tcPr>
          <w:p w:rsidR="00003DA6" w:rsidRDefault="00003DA6" w:rsidP="0010026C">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КАТОТТГ</w:t>
            </w:r>
          </w:p>
        </w:tc>
        <w:tc>
          <w:tcPr>
            <w:tcW w:w="172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2110100000</w:t>
            </w:r>
          </w:p>
        </w:tc>
      </w:tr>
      <w:tr w:rsidR="00003DA6" w:rsidTr="0010026C">
        <w:tblPrEx>
          <w:tblCellMar>
            <w:top w:w="0" w:type="dxa"/>
            <w:bottom w:w="0" w:type="dxa"/>
          </w:tblCellMar>
        </w:tblPrEx>
        <w:trPr>
          <w:trHeight w:val="298"/>
        </w:trPr>
        <w:tc>
          <w:tcPr>
            <w:tcW w:w="2160" w:type="dxa"/>
            <w:tcBorders>
              <w:top w:val="nil"/>
              <w:left w:val="nil"/>
              <w:bottom w:val="nil"/>
              <w:right w:val="nil"/>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 господарювання</w:t>
            </w:r>
          </w:p>
        </w:tc>
        <w:tc>
          <w:tcPr>
            <w:tcW w:w="4466" w:type="dxa"/>
            <w:tcBorders>
              <w:top w:val="nil"/>
              <w:left w:val="nil"/>
              <w:bottom w:val="nil"/>
              <w:right w:val="nil"/>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Акціонерне товариство</w:t>
            </w:r>
          </w:p>
        </w:tc>
        <w:tc>
          <w:tcPr>
            <w:tcW w:w="1654" w:type="dxa"/>
            <w:tcBorders>
              <w:top w:val="nil"/>
              <w:left w:val="nil"/>
              <w:bottom w:val="nil"/>
              <w:right w:val="single" w:sz="6" w:space="0" w:color="auto"/>
            </w:tcBorders>
            <w:vAlign w:val="center"/>
          </w:tcPr>
          <w:p w:rsidR="00003DA6" w:rsidRDefault="00003DA6" w:rsidP="0010026C">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КОПФГ</w:t>
            </w:r>
          </w:p>
        </w:tc>
        <w:tc>
          <w:tcPr>
            <w:tcW w:w="172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w:t>
            </w:r>
          </w:p>
        </w:tc>
      </w:tr>
      <w:tr w:rsidR="00003DA6" w:rsidTr="0010026C">
        <w:tblPrEx>
          <w:tblCellMar>
            <w:top w:w="0" w:type="dxa"/>
            <w:bottom w:w="0" w:type="dxa"/>
          </w:tblCellMar>
        </w:tblPrEx>
        <w:trPr>
          <w:trHeight w:val="298"/>
        </w:trPr>
        <w:tc>
          <w:tcPr>
            <w:tcW w:w="2160" w:type="dxa"/>
            <w:tcBorders>
              <w:top w:val="nil"/>
              <w:left w:val="nil"/>
              <w:bottom w:val="nil"/>
              <w:right w:val="nil"/>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економічної діяльності</w:t>
            </w:r>
          </w:p>
        </w:tc>
        <w:tc>
          <w:tcPr>
            <w:tcW w:w="4466" w:type="dxa"/>
            <w:tcBorders>
              <w:top w:val="nil"/>
              <w:left w:val="nil"/>
              <w:bottom w:val="nil"/>
              <w:right w:val="nil"/>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Пасажирський наземний транспорт міського та приміського сполучення</w:t>
            </w:r>
          </w:p>
        </w:tc>
        <w:tc>
          <w:tcPr>
            <w:tcW w:w="1654" w:type="dxa"/>
            <w:tcBorders>
              <w:top w:val="nil"/>
              <w:left w:val="nil"/>
              <w:bottom w:val="nil"/>
              <w:right w:val="single" w:sz="6" w:space="0" w:color="auto"/>
            </w:tcBorders>
            <w:vAlign w:val="center"/>
          </w:tcPr>
          <w:p w:rsidR="00003DA6" w:rsidRDefault="00003DA6" w:rsidP="0010026C">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КВЕД</w:t>
            </w:r>
          </w:p>
        </w:tc>
        <w:tc>
          <w:tcPr>
            <w:tcW w:w="172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49.31</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Середня кількість працівників: </w:t>
      </w:r>
      <w:r>
        <w:rPr>
          <w:rFonts w:ascii="Times New Roman CYR" w:hAnsi="Times New Roman CYR" w:cs="Times New Roman CYR"/>
        </w:rPr>
        <w:t>112</w:t>
      </w:r>
    </w:p>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Адреса, телефон: </w:t>
      </w:r>
      <w:r>
        <w:rPr>
          <w:rFonts w:ascii="Times New Roman CYR" w:hAnsi="Times New Roman CYR" w:cs="Times New Roman CYR"/>
        </w:rPr>
        <w:t>88015 м.Ужгород, вул.Василя Гаджеги,2, 0505551165</w:t>
      </w:r>
    </w:p>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Одиниця виміру: </w:t>
      </w:r>
      <w:r>
        <w:rPr>
          <w:rFonts w:ascii="Times New Roman CYR" w:hAnsi="Times New Roman CYR" w:cs="Times New Roman CYR"/>
        </w:rPr>
        <w:t>тис.грн. без десяткового знака</w:t>
      </w:r>
    </w:p>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Складено </w:t>
      </w:r>
      <w:r>
        <w:rPr>
          <w:rFonts w:ascii="Times New Roman CYR" w:hAnsi="Times New Roman CYR" w:cs="Times New Roman CYR"/>
        </w:rPr>
        <w:t>(зробити позначку "v" у відповідній клітинці):</w:t>
      </w:r>
    </w:p>
    <w:tbl>
      <w:tblPr>
        <w:tblW w:w="0" w:type="auto"/>
        <w:tblInd w:w="108" w:type="dxa"/>
        <w:tblLayout w:type="fixed"/>
        <w:tblLook w:val="0000"/>
      </w:tblPr>
      <w:tblGrid>
        <w:gridCol w:w="8280"/>
        <w:gridCol w:w="1720"/>
      </w:tblGrid>
      <w:tr w:rsidR="00003DA6" w:rsidTr="0010026C">
        <w:tblPrEx>
          <w:tblCellMar>
            <w:top w:w="0" w:type="dxa"/>
            <w:bottom w:w="0" w:type="dxa"/>
          </w:tblCellMar>
        </w:tblPrEx>
        <w:trPr>
          <w:trHeight w:val="298"/>
        </w:trPr>
        <w:tc>
          <w:tcPr>
            <w:tcW w:w="8280" w:type="dxa"/>
            <w:vMerge w:val="restart"/>
            <w:tcBorders>
              <w:top w:val="nil"/>
              <w:left w:val="nil"/>
              <w:bottom w:val="nil"/>
              <w:right w:val="nil"/>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національними положеннями (стандартами) бухгалтерського обліку</w:t>
            </w:r>
          </w:p>
        </w:tc>
        <w:tc>
          <w:tcPr>
            <w:tcW w:w="172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v</w:t>
            </w:r>
          </w:p>
        </w:tc>
      </w:tr>
      <w:tr w:rsidR="00003DA6" w:rsidTr="0010026C">
        <w:tblPrEx>
          <w:tblCellMar>
            <w:top w:w="0" w:type="dxa"/>
            <w:bottom w:w="0" w:type="dxa"/>
          </w:tblCellMar>
        </w:tblPrEx>
        <w:trPr>
          <w:trHeight w:val="298"/>
        </w:trPr>
        <w:tc>
          <w:tcPr>
            <w:tcW w:w="8280" w:type="dxa"/>
            <w:vMerge w:val="restart"/>
            <w:tcBorders>
              <w:top w:val="nil"/>
              <w:left w:val="nil"/>
              <w:bottom w:val="nil"/>
              <w:right w:val="nil"/>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міжнародними стандартами фінансової звітності</w:t>
            </w:r>
          </w:p>
        </w:tc>
        <w:tc>
          <w:tcPr>
            <w:tcW w:w="172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Баланс</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фінансовий стан)</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sz w:val="24"/>
          <w:szCs w:val="24"/>
        </w:rPr>
        <w:t>на 31.12.2025 p.</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№1</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524"/>
        <w:gridCol w:w="1205"/>
        <w:gridCol w:w="296"/>
        <w:gridCol w:w="1349"/>
      </w:tblGrid>
      <w:tr w:rsidR="00003DA6" w:rsidTr="0010026C">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003DA6" w:rsidRDefault="00003DA6" w:rsidP="0010026C">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1801001</w:t>
            </w:r>
          </w:p>
        </w:tc>
      </w:tr>
      <w:tr w:rsidR="00003DA6" w:rsidTr="0010026C">
        <w:tblPrEx>
          <w:tblCellMar>
            <w:top w:w="0" w:type="dxa"/>
            <w:bottom w:w="0" w:type="dxa"/>
          </w:tblCellMar>
        </w:tblPrEx>
        <w:trPr>
          <w:trHeight w:val="3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Актив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Необоротні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Нематеріальні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126</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( 80 )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( 93 )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Незавершені капітальні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засоби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16 452</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16 238</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33 861</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34 301</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( 17 409 )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( 18 063 )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Інвестиційна нерухомість</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1 231</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1 048</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5 276</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5 276</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( 4 045 )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( 4 228 )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які обліковуються за методом участі в капіталі інших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Гудвіл</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аквізиційні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у централізованих страхових резервних фондах</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необоротні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17 739</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17 348</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 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Запаси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391</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662</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Виробничі запаси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391</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662</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Незавершене виробництво</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Готова продукція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Депозити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одержані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продукцію,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1 641</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2 451</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розрахунками: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за виданими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736</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821</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нарахованих доходів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Інша поточна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132</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127</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Гроші та їх еквіваленти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2 274</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687</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Готівка</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58</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Рахунки в банках</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2 216</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Частка перестраховика у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 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збитків або резервах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72</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5 249</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4 953</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III. Необоротні активи, утримувані для продажу, та групи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22 988</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22 301</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003DA6" w:rsidTr="0010026C">
        <w:tblPrEx>
          <w:tblCellMar>
            <w:top w:w="0" w:type="dxa"/>
            <w:bottom w:w="0" w:type="dxa"/>
          </w:tblCellMar>
        </w:tblPrEx>
        <w:trPr>
          <w:trHeight w:val="529"/>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Пасив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Власний капітал</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r>
      <w:tr w:rsidR="00003DA6" w:rsidTr="0010026C">
        <w:tblPrEx>
          <w:tblCellMar>
            <w:top w:w="0" w:type="dxa"/>
            <w:bottom w:w="0" w:type="dxa"/>
          </w:tblCellMar>
        </w:tblPrEx>
        <w:trPr>
          <w:trHeight w:val="205"/>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Зареєстрований (пайовий)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Внески до незареєстрованого статутного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1401</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Капітал у дооцінках</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10 625</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10 625</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Емісійний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1411</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1412</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-7 513</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-9 475</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Неоплачений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Вилучений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18 366</w:t>
            </w: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16 404</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 Довгострокові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Пенсійні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довгострокові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Довгострокові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забезпечення витрат персоналу</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1521</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Цільове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Благодійна допомога</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1526</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1531</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збитків або резерв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1532</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1533</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1534</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Інвестиційні контракти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Призовий фонд</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 на виплату джек-поту</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IІІ. Поточні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Короткострокові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видані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Поточна кредиторська заборгованість за:</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довгостроковими зобов’язаннями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1 568</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2 301</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499</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1621</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зі 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208</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295</w:t>
            </w:r>
          </w:p>
        </w:tc>
      </w:tr>
      <w:tr w:rsidR="00003DA6" w:rsidTr="0010026C">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оплати праці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728</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1 084</w:t>
            </w:r>
          </w:p>
        </w:tc>
      </w:tr>
      <w:tr w:rsidR="00003DA6" w:rsidTr="0010026C">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одержаними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56</w:t>
            </w:r>
          </w:p>
        </w:tc>
      </w:tr>
      <w:tr w:rsidR="00003DA6" w:rsidTr="0010026C">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учасниками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страховою діяльністю</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1650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1 229</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1 169</w:t>
            </w:r>
          </w:p>
        </w:tc>
      </w:tr>
      <w:tr w:rsidR="00003DA6" w:rsidTr="0010026C">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Доходи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комісійні доходи від перестраховиків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поточні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243</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IІІ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4 622</w:t>
            </w: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5 897</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ІV. Зобов’язання, пов’язані з необоротними активами, утримуваними для продажу, та групами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Чиста вартість активів недержавного пенсійного фонду</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22 988</w:t>
            </w: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22 301</w:t>
            </w:r>
          </w:p>
        </w:tc>
      </w:tr>
    </w:tbl>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Активи товариства практично на рiвнi минулого року</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sectPr w:rsidR="00003DA6">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66"/>
        <w:gridCol w:w="1654"/>
        <w:gridCol w:w="1720"/>
      </w:tblGrid>
      <w:tr w:rsidR="00003DA6" w:rsidTr="0010026C">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003DA6" w:rsidTr="0010026C">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003DA6" w:rsidRDefault="00003DA6" w:rsidP="0010026C">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01.01.2026</w:t>
            </w:r>
          </w:p>
        </w:tc>
      </w:tr>
      <w:tr w:rsidR="00003DA6" w:rsidTr="0010026C">
        <w:tblPrEx>
          <w:tblCellMar>
            <w:top w:w="0" w:type="dxa"/>
            <w:bottom w:w="0" w:type="dxa"/>
          </w:tblCellMar>
        </w:tblPrEx>
        <w:trPr>
          <w:trHeight w:val="298"/>
        </w:trPr>
        <w:tc>
          <w:tcPr>
            <w:tcW w:w="2160" w:type="dxa"/>
            <w:tcBorders>
              <w:top w:val="nil"/>
              <w:left w:val="nil"/>
              <w:bottom w:val="nil"/>
              <w:right w:val="nil"/>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654" w:type="dxa"/>
            <w:tcBorders>
              <w:top w:val="nil"/>
              <w:left w:val="nil"/>
              <w:bottom w:val="nil"/>
              <w:right w:val="single" w:sz="6" w:space="0" w:color="auto"/>
            </w:tcBorders>
            <w:vAlign w:val="center"/>
          </w:tcPr>
          <w:p w:rsidR="00003DA6" w:rsidRDefault="00003DA6" w:rsidP="0010026C">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фінансові результати</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сукупний дохід)</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2025 рік</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№2</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 Фінансові результати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524"/>
        <w:gridCol w:w="1205"/>
        <w:gridCol w:w="296"/>
        <w:gridCol w:w="1349"/>
      </w:tblGrid>
      <w:tr w:rsidR="00003DA6" w:rsidTr="0010026C">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003DA6" w:rsidRDefault="00003DA6" w:rsidP="0010026C">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1801003</w:t>
            </w:r>
          </w:p>
        </w:tc>
      </w:tr>
      <w:tr w:rsidR="00003DA6" w:rsidTr="0010026C">
        <w:tblPrEx>
          <w:tblCellMar>
            <w:top w:w="0" w:type="dxa"/>
            <w:bottom w:w="0" w:type="dxa"/>
          </w:tblCellMar>
        </w:tblPrEx>
        <w:trPr>
          <w:trHeight w:val="53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дохід від 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50 786</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45 752</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зароблені страхові премії</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підписані,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передані у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резерву незароблених премій,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частки перестраховиків у резерві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Собівартість реалізованої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( 47 677 )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( 45 570 )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понесені збитки за страховими виплатами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Валовий:</w:t>
            </w:r>
          </w:p>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3 109</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182</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у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інших страхових резервів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інших страхових резервів,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частки перестраховиків в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8 014</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10 296</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використання коштів, вивільнених від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Адміністративні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( 6 153 )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( 5 273 )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збут</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( 6 932 )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( 5 557 )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від операційної діяльності:</w:t>
            </w:r>
          </w:p>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( 1 962 )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( 352 )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фінансові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1 218</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благодійної допомоги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Фінансові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Втрати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впливу інфляції на монетарні статті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до оподаткування:</w:t>
            </w:r>
          </w:p>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866</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(дохід)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припиненої діяльності після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фінансовий результат:</w:t>
            </w:r>
          </w:p>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878</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( 1 962 )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bl>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 Сукупний дохід</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003DA6" w:rsidTr="0010026C">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фінансових інструментів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Частка іншого сукупного доходу асоційованих та спільних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2445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до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Податок на прибуток, пов’язаний з іншим сукупним доходом</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після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Сукупний дохід (сума рядків 2350, 2355 та 2460)</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-1 962</w:t>
            </w: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878</w:t>
            </w:r>
          </w:p>
        </w:tc>
      </w:tr>
    </w:tbl>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III. Елементи операційних витрат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003DA6" w:rsidTr="0010026C">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Матеріальні затрати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31 603</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32 386</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оплату праці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16 817</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12 636</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Відрахування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3 768</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3 103</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849</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1 391</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2520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7 696</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6 856</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Разом</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60 733</w:t>
            </w: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56 372</w:t>
            </w:r>
          </w:p>
        </w:tc>
      </w:tr>
    </w:tbl>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ІV. Розрахунок показників прибутковості акцій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003DA6" w:rsidTr="0010026C">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Скоригована 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0,040000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0,200000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2615</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0,040000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0,200000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Дивіденди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2650</w:t>
            </w:r>
          </w:p>
        </w:tc>
        <w:tc>
          <w:tcPr>
            <w:tcW w:w="1729"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c>
          <w:tcPr>
            <w:tcW w:w="1645" w:type="dxa"/>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r>
    </w:tbl>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Чистий збиток 1962.0 тис.грн.</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sectPr w:rsidR="00003DA6">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90"/>
        <w:gridCol w:w="1990"/>
        <w:gridCol w:w="1360"/>
      </w:tblGrid>
      <w:tr w:rsidR="00003DA6" w:rsidTr="0010026C">
        <w:tblPrEx>
          <w:tblCellMar>
            <w:top w:w="0" w:type="dxa"/>
            <w:bottom w:w="0" w:type="dxa"/>
          </w:tblCellMar>
        </w:tblPrEx>
        <w:trPr>
          <w:gridBefore w:val="3"/>
          <w:wBefore w:w="8640" w:type="dxa"/>
          <w:trHeight w:val="200"/>
        </w:trPr>
        <w:tc>
          <w:tcPr>
            <w:tcW w:w="13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003DA6" w:rsidTr="0010026C">
        <w:tblPrEx>
          <w:tblCellMar>
            <w:top w:w="0" w:type="dxa"/>
            <w:bottom w:w="0" w:type="dxa"/>
          </w:tblCellMar>
        </w:tblPrEx>
        <w:trPr>
          <w:gridBefore w:val="2"/>
          <w:wBefore w:w="6650" w:type="dxa"/>
          <w:trHeight w:val="200"/>
        </w:trPr>
        <w:tc>
          <w:tcPr>
            <w:tcW w:w="1990" w:type="dxa"/>
            <w:tcBorders>
              <w:top w:val="nil"/>
              <w:left w:val="nil"/>
              <w:bottom w:val="nil"/>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13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01.01.2026</w:t>
            </w:r>
          </w:p>
        </w:tc>
      </w:tr>
      <w:tr w:rsidR="00003DA6" w:rsidTr="0010026C">
        <w:tblPrEx>
          <w:tblCellMar>
            <w:top w:w="0" w:type="dxa"/>
            <w:bottom w:w="0" w:type="dxa"/>
          </w:tblCellMar>
        </w:tblPrEx>
        <w:tc>
          <w:tcPr>
            <w:tcW w:w="2160" w:type="dxa"/>
            <w:tcBorders>
              <w:top w:val="nil"/>
              <w:left w:val="nil"/>
              <w:bottom w:val="nil"/>
              <w:right w:val="nil"/>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90" w:type="dxa"/>
            <w:vMerge w:val="restart"/>
            <w:tcBorders>
              <w:top w:val="nil"/>
              <w:left w:val="nil"/>
              <w:bottom w:val="nil"/>
              <w:right w:val="nil"/>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990" w:type="dxa"/>
            <w:tcBorders>
              <w:top w:val="nil"/>
              <w:left w:val="nil"/>
              <w:bottom w:val="nil"/>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136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рух грошових коштів (за прямим методом)</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2025 рік</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№3</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874"/>
        <w:gridCol w:w="855"/>
        <w:gridCol w:w="645"/>
        <w:gridCol w:w="1000"/>
      </w:tblGrid>
      <w:tr w:rsidR="00003DA6" w:rsidTr="0010026C">
        <w:tblPrEx>
          <w:tblCellMar>
            <w:top w:w="0" w:type="dxa"/>
            <w:bottom w:w="0" w:type="dxa"/>
          </w:tblCellMar>
        </w:tblPrEx>
        <w:trPr>
          <w:gridBefore w:val="3"/>
          <w:wBefore w:w="7500" w:type="dxa"/>
          <w:trHeight w:val="280"/>
        </w:trPr>
        <w:tc>
          <w:tcPr>
            <w:tcW w:w="1500" w:type="dxa"/>
            <w:gridSpan w:val="2"/>
            <w:tcBorders>
              <w:top w:val="nil"/>
              <w:left w:val="nil"/>
              <w:bottom w:val="nil"/>
              <w:right w:val="single" w:sz="6" w:space="0" w:color="auto"/>
            </w:tcBorders>
            <w:vAlign w:val="center"/>
          </w:tcPr>
          <w:p w:rsidR="00003DA6" w:rsidRDefault="00003DA6" w:rsidP="0010026C">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00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1801004</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right"/>
              <w:rPr>
                <w:rFonts w:ascii="Times New Roman CYR" w:hAnsi="Times New Roman CYR" w:cs="Times New Roman CYR"/>
              </w:rPr>
            </w:pPr>
          </w:p>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 Рух коштів у результаті операційної діяльності</w:t>
            </w:r>
          </w:p>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51 162</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46 361</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Повернення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Цільового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7 288</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9 727</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отримання субсидій, дотацій</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7 288</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9 727</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авансів від покупців і замовників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відсотків за залишками коштів на поточних рахунках</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боржників неустойки (штрафів, пені)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операційної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2 598</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2 591</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Надходження від отримання роялті, авторських винагород </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страхових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фінансових установ від повернення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222</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236</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оплату: </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( 38 635 )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( 39 236 )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Праці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( 12 588 )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( 10 065 )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Відрахувань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( 3 681 )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( 3 091 )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Зобов'язань з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( 6 528 )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( 4 479 )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( 1 379 )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( 794 )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інших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3118</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( 5 149 )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( 3 685 )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( 315 )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( 232 )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цільових внесків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за страховими контрактами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фінансових установ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витрачання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( 958 )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( 1 016 )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операційної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-1 386</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822</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 Рух коштів у результаті інвестиційної діяльності</w:t>
            </w:r>
          </w:p>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реалізації:</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1 663</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отриманих:</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деривативів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вибуття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( 440 )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( 935 )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Виплати за деривативами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інвестиційної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-440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728</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III. Рух коштів у результаті фінансової діяльності</w:t>
            </w:r>
          </w:p>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Власного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Отримання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317</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продажу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Викуп власних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( 100 )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( 140 )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Сплату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заборгованості з фінансової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виплати неконтрольованим часткам у дочірніх підприємствах</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фінансової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217</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за звітний період</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-1 609</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1 550</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початок року</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2 274</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737</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Вплив зміни валютних курсів на залишок коштів</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w:t>
            </w:r>
          </w:p>
        </w:tc>
      </w:tr>
      <w:tr w:rsidR="00003DA6" w:rsidTr="0010026C">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кінець року</w:t>
            </w:r>
          </w:p>
        </w:tc>
        <w:tc>
          <w:tcPr>
            <w:tcW w:w="776"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687</w:t>
            </w:r>
          </w:p>
        </w:tc>
        <w:tc>
          <w:tcPr>
            <w:tcW w:w="1645"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2 274</w:t>
            </w:r>
          </w:p>
        </w:tc>
      </w:tr>
    </w:tbl>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Залишок коштiв на кiнець року 687.0 тис.грн.</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sectPr w:rsidR="00003DA6">
          <w:pgSz w:w="12240" w:h="15840"/>
          <w:pgMar w:top="570" w:right="720" w:bottom="570" w:left="720" w:header="708" w:footer="708" w:gutter="0"/>
          <w:cols w:space="720"/>
          <w:noEndnote/>
        </w:sectPr>
      </w:pPr>
    </w:p>
    <w:tbl>
      <w:tblPr>
        <w:tblW w:w="0" w:type="auto"/>
        <w:tblInd w:w="3168" w:type="dxa"/>
        <w:tblLayout w:type="fixed"/>
        <w:tblLook w:val="0000"/>
      </w:tblPr>
      <w:tblGrid>
        <w:gridCol w:w="2240"/>
        <w:gridCol w:w="5500"/>
        <w:gridCol w:w="1800"/>
        <w:gridCol w:w="2000"/>
      </w:tblGrid>
      <w:tr w:rsidR="00003DA6" w:rsidTr="0010026C">
        <w:tblPrEx>
          <w:tblCellMar>
            <w:top w:w="0" w:type="dxa"/>
            <w:bottom w:w="0" w:type="dxa"/>
          </w:tblCellMar>
        </w:tblPrEx>
        <w:trPr>
          <w:gridBefore w:val="3"/>
          <w:wBefore w:w="9540" w:type="dxa"/>
          <w:trHeight w:val="298"/>
        </w:trPr>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003DA6" w:rsidTr="0010026C">
        <w:tblPrEx>
          <w:tblCellMar>
            <w:top w:w="0" w:type="dxa"/>
            <w:bottom w:w="0" w:type="dxa"/>
          </w:tblCellMar>
        </w:tblPrEx>
        <w:trPr>
          <w:gridBefore w:val="2"/>
          <w:wBefore w:w="7740" w:type="dxa"/>
          <w:trHeight w:val="298"/>
        </w:trPr>
        <w:tc>
          <w:tcPr>
            <w:tcW w:w="1800" w:type="dxa"/>
            <w:tcBorders>
              <w:top w:val="nil"/>
              <w:left w:val="nil"/>
              <w:bottom w:val="nil"/>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01.01.2026</w:t>
            </w:r>
          </w:p>
        </w:tc>
      </w:tr>
      <w:tr w:rsidR="00003DA6" w:rsidTr="0010026C">
        <w:tblPrEx>
          <w:tblCellMar>
            <w:top w:w="0" w:type="dxa"/>
            <w:bottom w:w="0" w:type="dxa"/>
          </w:tblCellMar>
        </w:tblPrEx>
        <w:tc>
          <w:tcPr>
            <w:tcW w:w="2240" w:type="dxa"/>
            <w:tcBorders>
              <w:top w:val="nil"/>
              <w:left w:val="nil"/>
              <w:bottom w:val="nil"/>
              <w:right w:val="nil"/>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5500" w:type="dxa"/>
            <w:vMerge w:val="restart"/>
            <w:tcBorders>
              <w:top w:val="nil"/>
              <w:left w:val="nil"/>
              <w:bottom w:val="nil"/>
              <w:right w:val="nil"/>
            </w:tcBorders>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800" w:type="dxa"/>
            <w:tcBorders>
              <w:top w:val="nil"/>
              <w:left w:val="nil"/>
              <w:bottom w:val="nil"/>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2000" w:type="dxa"/>
            <w:tcBorders>
              <w:top w:val="single" w:sz="6" w:space="0" w:color="auto"/>
              <w:left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003DA6" w:rsidRDefault="00003DA6" w:rsidP="00003DA6">
      <w:pPr>
        <w:widowControl w:val="0"/>
        <w:autoSpaceDE w:val="0"/>
        <w:autoSpaceDN w:val="0"/>
        <w:adjustRightInd w:val="0"/>
        <w:spacing w:after="0" w:line="240" w:lineRule="auto"/>
        <w:rPr>
          <w:rFonts w:ascii="Times New Roman CYR" w:hAnsi="Times New Roman CYR" w:cs="Times New Roman CYR"/>
          <w:sz w:val="24"/>
          <w:szCs w:val="24"/>
        </w:rPr>
      </w:pP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власний капітал</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2025 рік</w:t>
      </w:r>
    </w:p>
    <w:p w:rsidR="00003DA6" w:rsidRDefault="00003DA6" w:rsidP="00003DA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№4</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0"/>
        <w:gridCol w:w="1250"/>
        <w:gridCol w:w="1100"/>
        <w:gridCol w:w="1350"/>
        <w:gridCol w:w="1300"/>
        <w:gridCol w:w="1200"/>
        <w:gridCol w:w="1300"/>
        <w:gridCol w:w="950"/>
        <w:gridCol w:w="550"/>
        <w:gridCol w:w="1250"/>
        <w:gridCol w:w="50"/>
        <w:gridCol w:w="1250"/>
      </w:tblGrid>
      <w:tr w:rsidR="00003DA6" w:rsidTr="0010026C">
        <w:tblPrEx>
          <w:tblCellMar>
            <w:top w:w="0" w:type="dxa"/>
            <w:bottom w:w="0" w:type="dxa"/>
          </w:tblCellMar>
        </w:tblPrEx>
        <w:trPr>
          <w:gridBefore w:val="8"/>
          <w:wBefore w:w="11500" w:type="dxa"/>
          <w:trHeight w:val="280"/>
        </w:trPr>
        <w:tc>
          <w:tcPr>
            <w:tcW w:w="1800" w:type="dxa"/>
            <w:gridSpan w:val="2"/>
            <w:tcBorders>
              <w:top w:val="nil"/>
              <w:left w:val="nil"/>
              <w:bottom w:val="nil"/>
              <w:right w:val="single" w:sz="6" w:space="0" w:color="auto"/>
            </w:tcBorders>
            <w:vAlign w:val="center"/>
          </w:tcPr>
          <w:p w:rsidR="00003DA6" w:rsidRDefault="00003DA6" w:rsidP="0010026C">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00" w:type="dxa"/>
            <w:gridSpan w:val="2"/>
            <w:tcBorders>
              <w:top w:val="single" w:sz="6" w:space="0" w:color="auto"/>
              <w:left w:val="single" w:sz="6" w:space="0" w:color="auto"/>
              <w:bottom w:val="single" w:sz="6" w:space="0" w:color="auto"/>
            </w:tcBorders>
            <w:vAlign w:val="center"/>
          </w:tcPr>
          <w:p w:rsidR="00003DA6" w:rsidRDefault="00003DA6" w:rsidP="0010026C">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1801005</w:t>
            </w:r>
          </w:p>
        </w:tc>
      </w:tr>
      <w:tr w:rsidR="00003DA6" w:rsidTr="0010026C">
        <w:tblPrEx>
          <w:tblCellMar>
            <w:top w:w="0" w:type="dxa"/>
            <w:bottom w:w="0" w:type="dxa"/>
          </w:tblCellMar>
        </w:tblPrEx>
        <w:trPr>
          <w:trHeight w:val="530"/>
        </w:trPr>
        <w:tc>
          <w:tcPr>
            <w:tcW w:w="3050" w:type="dxa"/>
            <w:tcBorders>
              <w:top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1250"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100"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Зареєстрований капітал</w:t>
            </w:r>
          </w:p>
        </w:tc>
        <w:tc>
          <w:tcPr>
            <w:tcW w:w="1350"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Капітал у дооцінках</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Додатковий капітал</w:t>
            </w:r>
          </w:p>
        </w:tc>
        <w:tc>
          <w:tcPr>
            <w:tcW w:w="1200"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Резервний капітал</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Неоплачений капітал</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Вилучений капітал</w:t>
            </w:r>
          </w:p>
        </w:tc>
        <w:tc>
          <w:tcPr>
            <w:tcW w:w="1250" w:type="dxa"/>
            <w:tcBorders>
              <w:top w:val="single" w:sz="6" w:space="0" w:color="auto"/>
              <w:left w:val="single" w:sz="6" w:space="0" w:color="auto"/>
              <w:bottom w:val="single" w:sz="6" w:space="0" w:color="auto"/>
            </w:tcBorders>
            <w:shd w:val="clear" w:color="auto" w:fill="E6E6E6"/>
            <w:vAlign w:val="center"/>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Всього</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250" w:type="dxa"/>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100" w:type="dxa"/>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350" w:type="dxa"/>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200" w:type="dxa"/>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250" w:type="dxa"/>
            <w:tcBorders>
              <w:top w:val="single" w:sz="6" w:space="0" w:color="auto"/>
              <w:left w:val="single" w:sz="6" w:space="0" w:color="auto"/>
              <w:bottom w:val="single" w:sz="6" w:space="0" w:color="auto"/>
            </w:tcBorders>
            <w:shd w:val="clear" w:color="auto" w:fill="E6E6E6"/>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Залишок на початок року</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4000</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10 625</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-7 513</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18 366</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Коригування:</w:t>
            </w:r>
          </w:p>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облікової політики</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4005</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Виправлення помилок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4010</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4090</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Скоригований залишок на початок року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4095</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10 625</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-7 513</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18 366</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Чистий прибуток (збиток)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4100</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-1 962</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-1 962</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Інший сукупний дохід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4110</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необоротних активів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4111</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фінансових інструментів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4112</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Накопичені курсові різниці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4113</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Частка іншого сукупного доходу асоційованих і спільних підприємств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4114</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Інший сукупний дохід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4116</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Розподіл прибутку: </w:t>
            </w:r>
          </w:p>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Виплати власникам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4200</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Спрямування прибутку до зареєстрованого капіталу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4205</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Відрахування до резервного </w:t>
            </w:r>
            <w:r>
              <w:rPr>
                <w:rFonts w:ascii="Times New Roman CYR" w:hAnsi="Times New Roman CYR" w:cs="Times New Roman CYR"/>
              </w:rPr>
              <w:lastRenderedPageBreak/>
              <w:t xml:space="preserve">капіталу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4210</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Сума чистого прибутку, належна до бюджету відповідно до законодавства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4215</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створення спеціальних (цільових) фондів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4220</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матеріальне заохочення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4225</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Внески учасників: </w:t>
            </w:r>
          </w:p>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Внески до капіталу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4240</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Погашення заборгованості з капіталу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4245</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Вилучення капіталу: </w:t>
            </w:r>
          </w:p>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Викуп акцій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4260</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Перепродаж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4265</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Анулювання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4270</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Вилучення частки в капіталі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4275</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Зменшення номінальної вартості акцій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4280</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в капіталі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4290</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Придбання (продаж) неконтрольованої частки в дочірньому підприємстві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4291</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Разом змін у капіталі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4295</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-1 962</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-1 962</w:t>
            </w:r>
          </w:p>
        </w:tc>
      </w:tr>
      <w:tr w:rsidR="00003DA6" w:rsidTr="0010026C">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3DA6" w:rsidRDefault="00003DA6" w:rsidP="0010026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Залишок на кінець року </w:t>
            </w:r>
          </w:p>
        </w:tc>
        <w:tc>
          <w:tcPr>
            <w:tcW w:w="12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4300</w:t>
            </w:r>
          </w:p>
        </w:tc>
        <w:tc>
          <w:tcPr>
            <w:tcW w:w="11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10 625</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-9 475</w:t>
            </w:r>
          </w:p>
        </w:tc>
        <w:tc>
          <w:tcPr>
            <w:tcW w:w="15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3DA6" w:rsidRDefault="00003DA6" w:rsidP="0010026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16 404</w:t>
            </w:r>
          </w:p>
        </w:tc>
      </w:tr>
    </w:tbl>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Непокритий збиток складає -9475.0 тис.грн.</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sectPr w:rsidR="00003DA6">
          <w:pgSz w:w="16838" w:h="11906" w:orient="landscape"/>
          <w:pgMar w:top="570" w:right="720" w:bottom="570" w:left="720" w:header="708" w:footer="708" w:gutter="0"/>
          <w:cols w:space="720"/>
          <w:noEndnote/>
        </w:sect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sectPr w:rsidR="00003DA6">
          <w:pgSz w:w="16838" w:h="11906" w:orient="landscape"/>
          <w:pgMar w:top="570" w:right="720" w:bottom="570" w:left="720" w:header="708" w:footer="708" w:gutter="0"/>
          <w:cols w:space="720"/>
          <w:noEndnote/>
        </w:sectPr>
      </w:pPr>
    </w:p>
    <w:p w:rsidR="00003DA6" w:rsidRDefault="00003DA6" w:rsidP="00003DA6">
      <w:pPr>
        <w:widowControl w:val="0"/>
        <w:autoSpaceDE w:val="0"/>
        <w:autoSpaceDN w:val="0"/>
        <w:adjustRightInd w:val="0"/>
        <w:spacing w:after="0" w:line="240" w:lineRule="auto"/>
        <w:jc w:val="both"/>
        <w:rPr>
          <w:rFonts w:ascii="Times New Roman CYR" w:hAnsi="Times New Roman CYR" w:cs="Times New Roman CYR"/>
        </w:rPr>
        <w:sectPr w:rsidR="00003DA6">
          <w:pgSz w:w="16838" w:h="11906" w:orient="landscape"/>
          <w:pgMar w:top="570" w:right="720" w:bottom="570" w:left="720" w:header="708" w:footer="708" w:gutter="0"/>
          <w:cols w:space="720"/>
          <w:noEndnote/>
        </w:sect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003DA6" w:rsidRDefault="00003DA6" w:rsidP="00003DA6">
      <w:pPr>
        <w:widowControl w:val="0"/>
        <w:autoSpaceDE w:val="0"/>
        <w:autoSpaceDN w:val="0"/>
        <w:adjustRightInd w:val="0"/>
        <w:spacing w:after="0" w:line="240" w:lineRule="auto"/>
        <w:rPr>
          <w:rFonts w:ascii="Times New Roman CYR" w:hAnsi="Times New Roman CYR" w:cs="Times New Roman CYR"/>
        </w:rPr>
      </w:pPr>
    </w:p>
    <w:p w:rsidR="00A34E24" w:rsidRPr="00003DA6" w:rsidRDefault="00A34E24" w:rsidP="00003DA6"/>
    <w:sectPr w:rsidR="00A34E24" w:rsidRPr="00003DA6">
      <w:pgSz w:w="16838" w:h="11906" w:orient="landscape"/>
      <w:pgMar w:top="570" w:right="720" w:bottom="570" w:left="720" w:header="708" w:footer="708"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3509DF"/>
    <w:rsid w:val="00003DA6"/>
    <w:rsid w:val="000E70E5"/>
    <w:rsid w:val="00186244"/>
    <w:rsid w:val="003509DF"/>
    <w:rsid w:val="00443685"/>
    <w:rsid w:val="00503512"/>
    <w:rsid w:val="00723F03"/>
    <w:rsid w:val="00752841"/>
    <w:rsid w:val="009C6AD3"/>
    <w:rsid w:val="00A34E24"/>
    <w:rsid w:val="00C1154D"/>
    <w:rsid w:val="00D23CA2"/>
    <w:rsid w:val="00DD2F9D"/>
    <w:rsid w:val="00F66F5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9DF"/>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55</Pages>
  <Words>70656</Words>
  <Characters>40274</Characters>
  <Application>Microsoft Office Word</Application>
  <DocSecurity>0</DocSecurity>
  <Lines>335</Lines>
  <Paragraphs>221</Paragraphs>
  <ScaleCrop>false</ScaleCrop>
  <Company/>
  <LinksUpToDate>false</LinksUpToDate>
  <CharactersWithSpaces>110709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2026-05-07T13:34:00Z</dcterms:created>
  <dcterms:modified xsi:type="dcterms:W3CDTF">2026-05-24T13:14:00Z</dcterms:modified>
</cp:coreProperties>
</file>