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b/>
          <w:bCs/>
          <w:sz w:val="28"/>
          <w:szCs w:val="28"/>
        </w:rPr>
        <w:t>Титульний аркуш</w:t>
      </w: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230"/>
      </w:tblGrid>
      <w:tr w:rsidR="0077060C" w:rsidTr="00016A2D">
        <w:tblPrEx>
          <w:tblCellMar>
            <w:top w:w="0" w:type="dxa"/>
            <w:bottom w:w="0" w:type="dxa"/>
          </w:tblCellMar>
        </w:tblPrEx>
        <w:trPr>
          <w:trHeight w:val="300"/>
        </w:trPr>
        <w:tc>
          <w:tcPr>
            <w:tcW w:w="5230" w:type="dxa"/>
            <w:tcBorders>
              <w:top w:val="nil"/>
              <w:left w:val="nil"/>
              <w:bottom w:val="single" w:sz="6" w:space="0" w:color="auto"/>
              <w:right w:val="nil"/>
            </w:tcBorders>
            <w:vAlign w:val="bottom"/>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22.05.2026</w:t>
            </w:r>
          </w:p>
        </w:tc>
      </w:tr>
      <w:tr w:rsidR="0077060C" w:rsidTr="00016A2D">
        <w:tblPrEx>
          <w:tblBorders>
            <w:bottom w:val="none" w:sz="0" w:space="0" w:color="auto"/>
          </w:tblBorders>
          <w:tblCellMar>
            <w:top w:w="0" w:type="dxa"/>
            <w:bottom w:w="0" w:type="dxa"/>
          </w:tblCellMar>
        </w:tblPrEx>
        <w:trPr>
          <w:trHeight w:val="300"/>
        </w:trPr>
        <w:tc>
          <w:tcPr>
            <w:tcW w:w="5230" w:type="dxa"/>
            <w:tcBorders>
              <w:top w:val="nil"/>
              <w:left w:val="nil"/>
              <w:bottom w:val="nil"/>
              <w:right w:val="nil"/>
            </w:tcBorders>
            <w:vAlign w:val="bottom"/>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 реєстрації особою електронного документа)</w:t>
            </w:r>
          </w:p>
        </w:tc>
      </w:tr>
      <w:tr w:rsidR="0077060C" w:rsidTr="00016A2D">
        <w:tblPrEx>
          <w:tblCellMar>
            <w:top w:w="0" w:type="dxa"/>
            <w:bottom w:w="0" w:type="dxa"/>
          </w:tblCellMar>
        </w:tblPrEx>
        <w:trPr>
          <w:trHeight w:val="300"/>
        </w:trPr>
        <w:tc>
          <w:tcPr>
            <w:tcW w:w="5230" w:type="dxa"/>
            <w:tcBorders>
              <w:top w:val="nil"/>
              <w:left w:val="nil"/>
              <w:bottom w:val="single" w:sz="6" w:space="0" w:color="auto"/>
              <w:right w:val="nil"/>
            </w:tcBorders>
            <w:vAlign w:val="bottom"/>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r>
      <w:tr w:rsidR="0077060C" w:rsidTr="00016A2D">
        <w:tblPrEx>
          <w:tblCellMar>
            <w:top w:w="0" w:type="dxa"/>
            <w:bottom w:w="0" w:type="dxa"/>
          </w:tblCellMar>
        </w:tblPrEx>
        <w:trPr>
          <w:trHeight w:val="300"/>
        </w:trPr>
        <w:tc>
          <w:tcPr>
            <w:tcW w:w="5230" w:type="dxa"/>
            <w:tcBorders>
              <w:top w:val="nil"/>
              <w:left w:val="nil"/>
              <w:bottom w:val="nil"/>
              <w:right w:val="nil"/>
            </w:tcBorders>
            <w:vAlign w:val="bottom"/>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(вихідний реєстраційний номер електронного документа)</w:t>
            </w: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sz w:val="20"/>
          <w:szCs w:val="2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0465"/>
      </w:tblGrid>
      <w:tr w:rsidR="0077060C" w:rsidTr="00016A2D">
        <w:tblPrEx>
          <w:tblCellMar>
            <w:top w:w="0" w:type="dxa"/>
            <w:bottom w:w="0" w:type="dxa"/>
          </w:tblCellMar>
        </w:tblPrEx>
        <w:trPr>
          <w:trHeight w:val="300"/>
        </w:trPr>
        <w:tc>
          <w:tcPr>
            <w:tcW w:w="10465" w:type="dxa"/>
            <w:tcBorders>
              <w:top w:val="nil"/>
              <w:left w:val="nil"/>
              <w:bottom w:val="nil"/>
              <w:right w:val="nil"/>
            </w:tcBorders>
            <w:vAlign w:val="bottom"/>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а також особами, які надають забезпечення за такими цінними паперами (далі - Положення).</w:t>
            </w: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415"/>
        <w:gridCol w:w="236"/>
        <w:gridCol w:w="3334"/>
        <w:gridCol w:w="236"/>
        <w:gridCol w:w="3284"/>
      </w:tblGrid>
      <w:tr w:rsidR="0077060C" w:rsidTr="00016A2D">
        <w:tblPrEx>
          <w:tblCellMar>
            <w:top w:w="0" w:type="dxa"/>
            <w:bottom w:w="0" w:type="dxa"/>
          </w:tblCellMar>
        </w:tblPrEx>
        <w:trPr>
          <w:trHeight w:val="200"/>
        </w:trPr>
        <w:tc>
          <w:tcPr>
            <w:tcW w:w="3415" w:type="dxa"/>
            <w:tcBorders>
              <w:top w:val="nil"/>
              <w:left w:val="nil"/>
              <w:bottom w:val="single" w:sz="6" w:space="0" w:color="auto"/>
              <w:right w:val="nil"/>
            </w:tcBorders>
            <w:vAlign w:val="bottom"/>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Директор</w:t>
            </w:r>
          </w:p>
        </w:tc>
        <w:tc>
          <w:tcPr>
            <w:tcW w:w="216" w:type="dxa"/>
            <w:tcBorders>
              <w:top w:val="nil"/>
              <w:left w:val="nil"/>
              <w:bottom w:val="nil"/>
              <w:right w:val="nil"/>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334" w:type="dxa"/>
            <w:tcBorders>
              <w:top w:val="nil"/>
              <w:left w:val="nil"/>
              <w:bottom w:val="single" w:sz="6" w:space="0" w:color="auto"/>
              <w:right w:val="nil"/>
            </w:tcBorders>
            <w:vAlign w:val="bottom"/>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216" w:type="dxa"/>
            <w:tcBorders>
              <w:top w:val="nil"/>
              <w:left w:val="nil"/>
              <w:bottom w:val="nil"/>
              <w:right w:val="nil"/>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284" w:type="dxa"/>
            <w:tcBorders>
              <w:top w:val="nil"/>
              <w:left w:val="nil"/>
              <w:bottom w:val="single" w:sz="6" w:space="0" w:color="auto"/>
              <w:right w:val="nil"/>
            </w:tcBorders>
            <w:vAlign w:val="bottom"/>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Козун Володимир Iванович</w:t>
            </w:r>
          </w:p>
        </w:tc>
      </w:tr>
      <w:tr w:rsidR="0077060C" w:rsidTr="00016A2D">
        <w:tblPrEx>
          <w:tblCellMar>
            <w:top w:w="0" w:type="dxa"/>
            <w:bottom w:w="0" w:type="dxa"/>
          </w:tblCellMar>
        </w:tblPrEx>
        <w:trPr>
          <w:trHeight w:val="200"/>
        </w:trPr>
        <w:tc>
          <w:tcPr>
            <w:tcW w:w="3415" w:type="dxa"/>
            <w:tcBorders>
              <w:top w:val="nil"/>
              <w:left w:val="nil"/>
              <w:bottom w:val="nil"/>
              <w:right w:val="nil"/>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6" w:type="dxa"/>
            <w:tcBorders>
              <w:top w:val="nil"/>
              <w:left w:val="nil"/>
              <w:bottom w:val="nil"/>
              <w:right w:val="nil"/>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3334" w:type="dxa"/>
            <w:tcBorders>
              <w:top w:val="nil"/>
              <w:left w:val="nil"/>
              <w:bottom w:val="nil"/>
              <w:right w:val="nil"/>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(місце для накладання електронного підпису уповноваженої особи емітента/особи, яка надає забезпечення, що базується на кваліфікованому сертифікаті відкритого ключа)</w:t>
            </w:r>
          </w:p>
        </w:tc>
        <w:tc>
          <w:tcPr>
            <w:tcW w:w="216" w:type="dxa"/>
            <w:tcBorders>
              <w:top w:val="nil"/>
              <w:left w:val="nil"/>
              <w:bottom w:val="nil"/>
              <w:right w:val="nil"/>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3284" w:type="dxa"/>
            <w:tcBorders>
              <w:top w:val="nil"/>
              <w:left w:val="nil"/>
              <w:bottom w:val="nil"/>
              <w:right w:val="nil"/>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(прізвище та ініціали керівника або уповноваженої особи)</w:t>
            </w: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sz w:val="20"/>
          <w:szCs w:val="20"/>
        </w:rPr>
      </w:pP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Річний звіт</w:t>
      </w: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Акцiонерне товариство "Ужгородське автотранспортне пiдприємтсво 12107" (03114017)</w:t>
      </w: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за 2023 рік</w:t>
      </w: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Рішення про затвердження річного звіту: Рішення загальних зборів акціонерів від 28.08.2025, за 2023 рiк</w:t>
      </w: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Особа, яка здійснює діяльність з оприлюднення регульованої інформації: </w:t>
      </w: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яка здійснює подання звітності та/або звітних даних до Національної комісії з цінних паперів та фондового ринку: Державна установа "Агентство з розвитку iнфраструктури фондового ринку України", 21676262, Україна, DR/00002/ARM</w:t>
      </w: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Дані про дату та місце оприлюднення річної інформації:</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415"/>
        <w:gridCol w:w="5165"/>
        <w:gridCol w:w="1885"/>
      </w:tblGrid>
      <w:tr w:rsidR="0077060C" w:rsidTr="00016A2D">
        <w:tblPrEx>
          <w:tblCellMar>
            <w:top w:w="0" w:type="dxa"/>
            <w:bottom w:w="0" w:type="dxa"/>
          </w:tblCellMar>
        </w:tblPrEx>
        <w:trPr>
          <w:trHeight w:val="300"/>
        </w:trPr>
        <w:tc>
          <w:tcPr>
            <w:tcW w:w="3415" w:type="dxa"/>
            <w:vMerge w:val="restart"/>
            <w:tcBorders>
              <w:top w:val="nil"/>
              <w:left w:val="nil"/>
              <w:bottom w:val="nil"/>
              <w:right w:val="nil"/>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Річну інформацію розміщено на власному вебсайті емітента</w:t>
            </w:r>
          </w:p>
        </w:tc>
        <w:tc>
          <w:tcPr>
            <w:tcW w:w="5165" w:type="dxa"/>
            <w:tcBorders>
              <w:top w:val="nil"/>
              <w:left w:val="nil"/>
              <w:bottom w:val="single" w:sz="6" w:space="0" w:color="auto"/>
              <w:right w:val="nil"/>
            </w:tcBorders>
            <w:vAlign w:val="bottom"/>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http://atp-12107.emitents.net.ua/ua/docs/?fg_id=100</w:t>
            </w:r>
          </w:p>
        </w:tc>
        <w:tc>
          <w:tcPr>
            <w:tcW w:w="1885" w:type="dxa"/>
            <w:tcBorders>
              <w:top w:val="nil"/>
              <w:left w:val="nil"/>
              <w:bottom w:val="single" w:sz="6" w:space="0" w:color="auto"/>
              <w:right w:val="nil"/>
            </w:tcBorders>
            <w:vAlign w:val="bottom"/>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24.05.2026</w:t>
            </w:r>
          </w:p>
        </w:tc>
      </w:tr>
      <w:tr w:rsidR="0077060C" w:rsidTr="00016A2D">
        <w:tblPrEx>
          <w:tblCellMar>
            <w:top w:w="0" w:type="dxa"/>
            <w:bottom w:w="0" w:type="dxa"/>
          </w:tblCellMar>
        </w:tblPrEx>
        <w:trPr>
          <w:trHeight w:val="300"/>
        </w:trPr>
        <w:tc>
          <w:tcPr>
            <w:tcW w:w="3415" w:type="dxa"/>
            <w:vMerge/>
            <w:tcBorders>
              <w:top w:val="nil"/>
              <w:left w:val="nil"/>
              <w:bottom w:val="nil"/>
              <w:right w:val="nil"/>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0"/>
                <w:szCs w:val="20"/>
              </w:rPr>
            </w:pPr>
          </w:p>
        </w:tc>
        <w:tc>
          <w:tcPr>
            <w:tcW w:w="5165" w:type="dxa"/>
            <w:tcBorders>
              <w:top w:val="nil"/>
              <w:left w:val="nil"/>
              <w:bottom w:val="nil"/>
              <w:right w:val="nil"/>
            </w:tcBorders>
            <w:vAlign w:val="bottom"/>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(URL-адреса вебсайту)</w:t>
            </w:r>
          </w:p>
        </w:tc>
        <w:tc>
          <w:tcPr>
            <w:tcW w:w="1885" w:type="dxa"/>
            <w:tcBorders>
              <w:top w:val="nil"/>
              <w:left w:val="nil"/>
              <w:bottom w:val="nil"/>
              <w:right w:val="nil"/>
            </w:tcBorders>
            <w:vAlign w:val="bottom"/>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w:t>
            </w: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sz w:val="20"/>
          <w:szCs w:val="20"/>
        </w:rPr>
        <w:sectPr w:rsidR="0077060C">
          <w:pgSz w:w="12240" w:h="15840"/>
          <w:pgMar w:top="570" w:right="720" w:bottom="570" w:left="720" w:header="708" w:footer="708" w:gutter="0"/>
          <w:cols w:space="720"/>
          <w:noEndnote/>
        </w:sectPr>
      </w:pP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Пояснення щодо розкриття інформації</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Роздiл I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1.2." Iнформацiя щодо усiх випускiв цiнних паперiв, за якими надається забезпечення (якщо рiчний звiт подається особою, яка надає забезпечення (незалежно вiд того, чи є особа емiтентом)" не розкрита особою у складi рiчного звiту через те, що рiчний звiт подає емiтент.</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1.3 "Iнформацiя щодо всiх осiб, якi на дають забезпечення за його зобов'язаннями (якщо за зобов'язаннями емiтента надаються забезпечення)" не розкрита особою у складi рiчного звiту через те, що рiчний звiт подає емiтент.</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1.5. "Iнформацiя про рейтингове агентство" не розкрита особою у складi рiчного звiту через те, що за звiтний перiод емiтент не проводив рейтингову оцiнку свого кредитного рейтингу або його цiнних паперiв.</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1.6."Iнформацiя про судовi справи" не розкрита особою у складi рiчного звiту через те, що особа не мала судових справ , за якими розглядаються позовнi вимоги у розмiрi на суму 1 та бiльше вiдсоткiв активiв особи станом на початок звiтного року, стороною в яких виступає особа,  посадовi особи.</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1.7. Iнформацiя про "Штрафнi санкцiї щодо особи" не заповнюється тому, що протягом звiтного року вiдсутнi штрафнi санкцiї в розмiрi, який перевищує 1 000.00 грн.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2.3. "Iнформацiя про корпоративного секретаря" не заповнюється через вiдсутнiсть корпоративного секретаря у Товариствi.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2.5. Складова звiту "Органiзацiйна структура" - .Схематичне зображення органiзацiйної структури пiдприємства не розмiщується на вебсайтi, так як не вiдноситься до вiдкритої/публiчної iнформацiї.</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Структура власностi - розкриття структури власностi  вiдповiдно  Рiшення НКЦПФР №608 вiд 06.06.2024р. не передбачено:</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товариство, не  здiйснювало публiчну пропозицiю цiнних паперiв, та/або</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товариство, не є пiдприємством, що становить суспiльний iнтерес, та/або</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товариство не вiдноситься до  товариства у якого  100 вiдсоткiв акцiй прямо або опосередковано належить державi,</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4.6. "Iнформацiя про обсяги виробництва та реалiзацiї основних видiв продукцiї" не заповнюється, оскiльки Товариство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4.7."Iнформацiя про собiвартiсть реалiзованої продукцiї" не заповнюється, оскiльки Товариство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5.Iнформацiя змiсту " Участь в iнших юридичних особах" не включена до складу рiчної iнформацiї, так як емiтент не бере участi в iнших юридичних особах.</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6. Iнформацiя про вiдокремленi пiдроздiли не заповненюється, адже вiдокремленi пiдроздiли в Товариствi вiдсутнi.</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II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2.Змiна прав на акцiїї у звiтньому роцi не було.</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3.2.Iнформацiя "Про уточнення щодо наявностi обмежень на акцiї" , не заповнюється у звязку так як в емiтента немає обмежень по акцiям, крiм Згiдно з п. 10 роздiлу ХV Закону України "Про депозитарну систему України" тi акцiонери, якi не уклали з обраною емiтентом депозитарною установою договору про обслуговування рахунка в цiнних паперах вiд власного iменi або не здiйснили переказ належних йому прав на цiннi папери на свiй рахунок у цiнних паперах, вiдкритий в iншiй депозитарнiй установi, цiннi папери такого власника (якi дають право на участь в органах емiтента) не враховуються при визначеннi кворуму та при голосуваннi в органах емiтента та розкрито у п.3.12.</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3.3. Iнформацiя про облiгацiї емiтента не заповнюється у зв'язку з їх вiдсутнiстю.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3.4. Iнформацiя про iншi цiннi папери, випущенi емiтентом не заповнюється у зв'язку з їх вiдсутнiстю.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3.5. Iнформацiя про деривативнi цiннi папери не заповнюється у зв`яку з вiдсутнiстю їх випуску емiтентом.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3.6 Iнформацiя про забезпечення випуску боргових цiнних паперiв не заповнюється, оскiльки в емiтента вiдсутнi борговi цiннi папери i, вiдповiдно, їх забезпечення.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3.7 Звiт про стан об'єкта нерухомостi (у разi емiсiї цiльових корпоративних облiгацiй, виконання зобов'язань за якими здiйснюється шляхом об'єкта (частини об'єкта) житлового будiвництва) не заповнюється через вiдсутнiсть емiсiї емiтентом цiльових корпоративних облiгацiй.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3.8 Iнформацiя про придбання власних акцiй емiтентом протягом звiтного перiоду не заповнюється, оскiльки емiтент не здiйснював придбання власних акцiй протягом звiтного перiоду</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3.9 Iнформацiя про наявнiсть у власностi працiвникiв емiтента цiнних паперiв (крiм акцiй) такого емiтента не заповнюється тому, що емiтент не розмiщував iншi цiннi папери, крiм акцiй.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3.11 Iнформацiя про будь-якi обмеження щодо обiгу цiнних паперiв особи, в тому числi необхiднiсть отримання вiд особи або iнших власникiв цiнних паперiв згоди на вiдчуження таких цiнних паперiв, оскiльки в емiтента вiдсутнi обмеження щодо обiгу цiнних паперiв.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4.2.Iнформацiя змiсту " Вiдомостi про змiну акцiонерiв, яким належать голосуючi акцiї, розмiр пакета яких стає бiльшим, меншим або рiвним пороговому значеню пакета акцiй" не включена до складу рiчної iнформацiї, так як в емiтента в звiтному роцi не було змiни таких акцiонерiв.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4.3. Iнформацiю про змiну осiб, яким належить право голосу за акцiями, сумарна кiлькiсть прав за якими стає бiльшою, меншою або дорiвнює пороговому значенню пакета акцiй  не включена до складу рiчної iнформацiї, так як в емiтента в звiтному роцi не було змiни таких осiб</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4.4. Iнформацiю про змiну осiб, якi є власниками фiнансових iнструментiв, пов'язаних з голосуючими акцiями акцiонерного товариства, сумарна кiлькiсть прав за якими стає бiльшою, меншою або рiвною пороговому значенню пакета акцiй - не заповнюється за вiдсутнiстю таких змiн.</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III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2.Товариство подає лише рiчну (регулярну) iнформацiю емiтента (фiнансова звiтнiсть є невiдємною частиною регулярної iнформацii емiтента)</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3.Iнформацiя змiсту " Аудиторський звiт до рiчної фiнансової звiтностi" не включена до складу рiчної iнформацiї, так як в звiтному роцi емiтент не проводив аудит рiчної фiнансової звiтностi, у зв'язку з вiдсутнiстю такого обов'язку.</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5.1.  Складова змiсту " Iнформацiя про прийняття рiшення про попереднє надання згоди на вчинення значних правочинiв" не включена до складу рiчної iнформацiї, так як в звiтному роцi емiтент не приймав такого рiшення. Згiдно вимог пункту 48 положення, приватними акцiонерними товариствами iнформацiя про попереднє надання згоди на вчинення значних правочинiв не розкривається. Вищезазначена iнформацiя у звiтному роцi не вiдбувалась.</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5.2. Складова змiсту " Iнформацiя про вчинення значних правочинiв" не включена до складу рiчної iнформацiї, так як в звiтному роцi емiтент не вчиняв таких правочинiв. Згiдно вимог пункту 48 положення, приватними акцiонерними товариствами iнформацiя про попереднє надання згоди на вчинення значних правочинiв не розкривається. Вищезазначена iнформацiя у звiтному роцi не вiдбувалась.</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5.3. Складова змiсту " Iнформацiя про вчинення правочинiв, щодо вчинення яких є заiнтерисованiсть" не включена до складу рiчної iнформацiї, так як в звiтному роцi емiтент не вчиняв таких правочинiв. Згiдно вимог пункту 48 положення, приватними акцiонерними товариствами iнформацiя про попереднє надання згоди на вчинення значних правочинiв не розкривається. Вищезазначена iнформацiя у звiтному роцi не вiдбувалась.</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6. Звiт про платежнi на користь держави не заповнюється, оскiльки емiтент не належить до суб'єктiв господарювання, якi вiдповiдно до вимог до вимог Положення про розкриття iнформацiї емiтентами цiнних паперiв, а також особами, якi надають забезпечення за такими цiнними паперами, затвердженого Рiшенням Нацiональної комiсiї з цiнних паперiв та фондового ринку вiд 06 червня 2023 року №608, зобов'язанi подавати таку iнформацiю.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IV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1.1.1.1Складова змiсту " Iнформацiя про кодекс копоративного управлiння, яким керується особа" не включена до складу рiчної iнформацiї, так як у емiтента вiдсутнiй кодекс корпоративного управлiння.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1.1.1.5.Складова змiсту " Iнформацiя про практику корпоративного управлiння особи. Рада директорiв" не включена до складу рiчної iнформацiї, так як в емiтента вiдсутня рада директорiв.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1.1.2. "Iнформацiя про загальнi збори акцiонерiв (учасникiв) та загальний опис прийнятих на тих зборах рiшень" не включенi до складу рiчної звiтностi, так як збори у звiтному роцi не скликалися, Складова змiсту "Iнформацiя про загальнi збори акцiонерiв (учасникiв) та загальний опис прийнятих на тих зборах </w:t>
      </w:r>
      <w:r>
        <w:rPr>
          <w:rFonts w:ascii="Times New Roman CYR" w:hAnsi="Times New Roman CYR" w:cs="Times New Roman CYR"/>
          <w:sz w:val="24"/>
          <w:szCs w:val="24"/>
        </w:rPr>
        <w:lastRenderedPageBreak/>
        <w:t>рiшень не включенi до складу рiчної звiтностi, так як збори у звiтному роцi не скликалися, у зв'язку з вiйськовою агресiєю Росiйської Федерацiї проти України початку звiтного року та введенням воєнного стану в Українi вiдповiдно до Указу Президента України вiд 24 лютого 2022 року № 64/2022 "Про введення воєнного стану в Українi", затвердженого Законом України вiд 24 лютого 2022 року № 2102-IX, та виникненням проблем щодо провадження господарської дiяльностi, забезпечення збереження майна та працiвникiв товариства, рiчнi та позачерговi загальнi збори акцiонерiв не проводились</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1.1.3. Iнформацiя про збори власникiв облiгацiй та загальний опис прийнятих на таких зборах рiшень не заповнюється, у зв'язку iз вiдсутнiстю облiгацiй емiтента.</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1.1.4.2.У звiтньому роцi наглядова рада не засiдала та не приймала рiшень , у зв'язку з вiдсутнiстю членiв наглядової ради в Українi.</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1.1.4.3. Iнформацiя про проведенi засiдання комiтетiв ради та загальний опис прийнятих рiшень не заповнюється тому, що комiтети ради у Товариствi не створенi.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1.1.5.1.Складова змiсту " Персональний склад колегiального виконавчого органу та його комiтетiв" не включена до складу рiчної iнформацiї, так як в емiтента вiдсутнiй колегiальний виконавчий орган.</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1.1.5.2. Складова змiсту " Iнформацiя про проведеннi засiдання колегiального виконавчого органу та загальних опис прийнятих рiшень" не включена до складу рiчної iнформацiї, так як в емiтента вiдсутнiй колегiальний виконавчий орган.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1.1.5.3.Складова змiсту " Iнформацiя про проведеннi засiдання комiтетiв колегiального виконавчого органу та загальних опис прийнятих рiшень" не включена до складу рiчної iнформацiї, так як в емiтента вiдсутнiй колегiальний виконавчий орган i його комiтети.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1.1.6. Iнформацiя про корпоративного секретаря, а також звiт щодо результатiв його дiяльностi не заповнювався тому що у Товариствi вiдсутнiй корпоративний секретар.</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1.1.9. Iнформацiя щодо будь-яких обмежень прав участi та голосування акцiонерiв (учасникiв) на загальних зборах , не заповнюється,  так як в емiтента вiдсутня iнформацiя щодо будь-яких обмежень прав участi та голосування акцiонерiв на загальних зборах.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1.1.10.Складова змiсту "Iнформацiя щодо порядку та звiльнення посадових осiб (крiм ради та виконавчого органу) особи", не включена до складу рiчної звiтностi, корпоративного секретаря у товариства не має, ншi посадовi особи емiтента призначаються та звiльняються наказом  директора. У разi звiльнення виплачується компенсацiя за невикористану вiдпустку. Згiдно вимог пункту 48 положення, приватними акцiонерними товариствами не розкривається iнформацiя про будь-якi винагороди або компенсацiї, якi мають бути виплаченi посадовим особам у разi їх звiльнення.</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1.1.11.Складова змiсту "Iнформацiя про винагороду членiв виконавчого органу та/або ради особи" не включена до складу рiчної iнформацiї, так як у звiтному роцi емiтент не виплачував винагороду членам виконавчого органу та/або ради.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Директор отримує з/пдату згiдно штатного розпису,  iншi винагороди, в тому числi  у натуральнiй формi винагороду не отримував.</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Члени наглядової ради,  винагороду за виконання обов'язкiв члена наглядової ради, в тому числi  у натуральнiй формi не отримували.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Посадовi особи не надали згоди на розкриття персональних данних.</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1.1.12.Складова змiсту "Iнформацiя про полiтику розкриття iнформацiї особою" не включена до складу рiчної iнформацiї, так як емiтент не затверджував полiтику розкриття iнформацi, iнформацiя розкривається у строки та обсязi встановленi законодавством i не виходить за межi законодавства i не суперечить йому. Внутрiшнього документа, який визначає полiтику щодо розкриття iнформацiї особою на товариствi не  затверджено.</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1.1.13. Складова змiсту "Iнформацiя про радника" не включена до складу рiчної iнформацiї, так як в емiтента вiдсутнi радники..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1.1.14.Складова змiсту "Iнформацiя вiд суб'єкта аудиторської дiяльностi з урахуванням вимог, пердбаченим пунктом 45 цього Положення" не включена до складу рiчної iнформацiї, так як емiтент у звiтному роцi не залучав суб'єкта аудиторської дiяльностi i не проводив аудит фiнансової звiтностi.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1.1.15.Складова змiсту " Iнформацiя, передбачена законодавством про дiяльнiсть та регулювання дiяльностi на ринку фiнансових послуг" не включена до складу рiчної iнформацiї, так як емiтент у звiтному роцi не надавав фiнансовi послуги на ринку.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1.3.1. Складова змiсту. "Iнформацiя про наявнiсть в структурi власностi емiтента фiзичних осiб якi </w:t>
      </w:r>
      <w:r>
        <w:rPr>
          <w:rFonts w:ascii="Times New Roman CYR" w:hAnsi="Times New Roman CYR" w:cs="Times New Roman CYR"/>
          <w:sz w:val="24"/>
          <w:szCs w:val="24"/>
        </w:rPr>
        <w:lastRenderedPageBreak/>
        <w:t xml:space="preserve">мають громадянство iноземної держави зони ризику.  не включена до складу рiчної iнформацiї, так як   у  товариства немає фiзичних осiб якi мають громадянство iноземної держави зони ризику..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1.3.2. Складова змiсту "Iнформацiя щодо наявностi в структурi власностi емiтента фiзичних осiб, постiйним мiсцем проживання яких є iноземнi держави зони ризику" не включена до складу рiчної iнформацiї, так як в емiтента вiдсутня iнформацiя про наявнiсть таких осiб.</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1.3.3. Складова змiсту "Iнформацiя щодо наявностi в структурi власностi емiтента юридичних осiб, мiсцем реєстрацiї яких є iноземнi держави зони ризику" не включена до складу рiчної iнформацiї, так як в емiтента вiдсутня iнформацiя про наявнiсть таких осiб.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1.3.4. Складова змiсту "Перелiк засновникiв, учасникiв, що вiдносяться до iнформацiї щодо наявностi в структурi власностi емiтента юридичних осiб, мiсцем реєстрацiї яких є iноземнi держави зони ризику" не включена до складу рiчної iнформацiї, так як в емiтента вiдсутня iнформацiя про наявнiсть таких осiб.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1.3.5. Складова змiсту "Iнформацiя щодо наявностi в органах управлiння емiтента фiзичних осiб зякi мають громадянство  iноземної держави зони ризику, не включена до складу рiчної iнформацiї, так як в емiтента вiдсутня дiловi вiдносини з такими особами.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1.3.6. Складова змiсту. "Iнформацiя щодо наявностi у емiтента дiлових вiдносин з клiєнтами/контрагентами держави зони ризику або клiєнтами/контрагентами, якi контролюються державою зони ризику для клiєнтiв/контрагентiв - юридичних осiб" не включена до складу рiчної iнформацiї, так як в емiтента вiдсутня дiловi вiдносини з такими особами.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1.3.7.Складова змiсту " Iнформацiя щодо наявностi у емiтента дiлових вiдносин з клiєнтами/контрагентами держави зони ризику або клiєнтами/контрагентами, якi контролюються державою зони ризику для клiєнтiв/контрагентiв - фiхичних осiб" не включена до складу рiчної iнформацiї, так як в емiтента вiдсутня дiловi вiдносини з такими особами.</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1.3.8.Складова змiсту "Iнформацiя щодо розташування дочiрнiх компанiй/пiдприємств, фiлiй, представництв та/або iнших вiдокремлених структурних пiдроздiлiв емiтента на територiї держави зони ризику" не включена до складу рiчної iнформацiї, так як в емiтента вiдсутнi компанiї/пiдприємства, фiлiї, представництва та/або iнших вiдокремленi структурнi пiдроздiли емiтента на територiї держави зони ризику.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1.3.9.Складова змiсту " Iнформацiя щодо наявностi юридичних осiб, засновником, учасником, акцiонером яких є емiтент разом з особами, визначеними пiдпунктами 1-3 пункту 47 Положення" не включена до складу рiчної iнформацiї, так як емiтент не є засновником, учасником, акцiонером будь-яких юридичних осiб.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1.3.10. Складова змiсту " Перелiк засновникiв, акцiонерiв, учасникiв, що вiдносяться до iнформацiї щодо наявностi юридичних осiб, засновником, учасником, акцiонером яких є емiтент разом з особами, визначеними пiдпунктами 1-3 пункту 47 Положення" не включена до складу рiчної iнформацiї, так як емiтент не є засновником, учасником, акцiонером будь-яких юридичних осiб.</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1.3.11.  Складова змiсту " Iнформацiя щодо наявностi у емiтента корпоративних прав в юридичнiй особi, зареєстрованiй в iноземнiй державi зони ризику" не включена до складу рiчної iнформацiї, так як емiтент не має жодних корпоративних прав.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1.3.12. Складова змiсту " Iнформацiя щодо наявностi у емiтента цiнних паперiв (крiм акцiй) юридичної особи, яка зареєстрована в iноземнiй державi зони ризику" не включена до складу рiчної iнформацiї, так як емiтент не має жодних цiнних паперiв в тому числi i акцiй.</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2.1. Складова змiсту " Iнформацiя про корпоративнi/акцiонернi договори, укладенi акцiонерами (учасниками) особи, яка наявна в особи" не включена до складу рiчної iнформацiї, так як в емiтента вiдсутня iнформацiя про такi договори.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2.2.Складова змiсту " Iнформацiя про будь-якi договори та/або правочини, умовою чинностi яких є незмiннiсть осiб, якi здiйснюють контроль над емiтентом" не включена до складу рiчної iнформацiї, так як в емiтента вiдсутня iнформацiя про такi договори та/або правочини.</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2.3."Iнформацiя про будь-якi винагороди або компенсацiї, якi мають бути виплаченi посадовим особам емiтента в разi їх звiльнення" не розкрита особою у складi рiчного звiту , виплата винагород , в тому числi у натуральнiй формi , посадовим особам у разi iх звiльнення не передбачена. У разi звiльнення виплачується компенсацiя за невикористану вiдпустку.</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3.Складова змiсту " Дивiдентна полiтика" не включена до складу рiчної iнформацiї, так як емiтент не </w:t>
      </w:r>
      <w:r>
        <w:rPr>
          <w:rFonts w:ascii="Times New Roman CYR" w:hAnsi="Times New Roman CYR" w:cs="Times New Roman CYR"/>
          <w:sz w:val="24"/>
          <w:szCs w:val="24"/>
        </w:rPr>
        <w:lastRenderedPageBreak/>
        <w:t xml:space="preserve">розробляв i не затверджував дивiдендну полiтику, виплата дивiдендiв здiйснюється в порядку встановленому законодавством  i не вiдрiзняється вiд законодавчо прийнятих норм.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4.Складова змiсту " Iнформацiя про виплату дивiдендiв та iнших доходiв за цiнними паперами у звiтному роцi" не включена до складу рiчної iнформацiї, так як емiтент у звiтному роцi дивiдендiв не виплачував.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5.Складова змiсту "Перелiк посилань на внутрiшнi документи особи , що розмiщенi на веб-сайтi особи", не включена до рiчної звiтностi емiтента, так як на веб.сайтi у звiтному роцi не розмiщались.Перелiк посилань на внутрiшнi документи товариства вiдсутнiй, оскiльки приватнi акцiонернi товариства не зобов'язанi розмiщувати таку iнформацiю навласному веб сайтi.</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V .Складова змiсту "Роздiл V" не включена до складу рiчної iнформацiї, так як емiтент не випускав iпотечнi облiгацiї, сертифiкати ФОН, якi стосуються цього роздiлу.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Роздiл VI.Складова змiсту "Роздiл V" не включена до складу рiчної iнформацiї у звiтньому роцi регульованої iнформацiїї не було.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Роздiл VII. Складова змiсту " Рiчна фiнансова звiтнiсть поручителя (страховика/гаранта), що здiйснює забезпечення випуску боргових цiнних паперiвi" не включена до складу рiчної iнформацiї, так як емiтент не є поручителем (страховиком/гарантом).Вiдомостi щодо пiдстав виникнення у емiтента iпотечних облiгацiй прав на iпотечнi активи, якi складають iпотечне покриття за станом на кiнець звiтного року</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Зміст</w:t>
      </w: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до річного звіту</w:t>
      </w: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 Загальна інформація</w:t>
      </w: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Ідентифікаційні дані та загальна інформація</w:t>
      </w: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Органи управління та посадові особи. Організаційна структура</w:t>
      </w: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Опис господарської та фінансової діяльності</w:t>
      </w: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II. Інформація щодо капіталу та цінних паперів</w:t>
      </w: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Структура капіталу</w:t>
      </w: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Цінні папери</w:t>
      </w: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III. Фінансова інформація</w:t>
      </w: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Інформація про розмір доходу за видами діяльності особи</w:t>
      </w: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Твердження щодо річної інформації</w:t>
      </w: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IV. Нефінансова інформація</w:t>
      </w: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Звіт керівництва (звіт про управління)</w:t>
      </w: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звіт про корпоративне управління</w:t>
      </w: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звіт про сталий розвиток</w:t>
      </w: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sectPr w:rsidR="0077060C">
          <w:pgSz w:w="12240" w:h="15840"/>
          <w:pgMar w:top="570" w:right="720" w:bottom="570" w:left="720" w:header="708" w:footer="708" w:gutter="0"/>
          <w:cols w:space="720"/>
          <w:noEndnote/>
        </w:sectPr>
      </w:pP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I. Загальна інформація</w:t>
      </w: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Ідентифікаційні дані та загальна інформація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3500"/>
        <w:gridCol w:w="6465"/>
      </w:tblGrid>
      <w:tr w:rsidR="0077060C"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3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Повне найменування</w:t>
            </w:r>
          </w:p>
        </w:tc>
        <w:tc>
          <w:tcPr>
            <w:tcW w:w="646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Акцiонерне товариство "Ужгородське автотранспортне пiдприємтсво 12107"</w:t>
            </w:r>
          </w:p>
        </w:tc>
      </w:tr>
      <w:tr w:rsidR="0077060C"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3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Скорочене найменування</w:t>
            </w:r>
          </w:p>
        </w:tc>
        <w:tc>
          <w:tcPr>
            <w:tcW w:w="646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АТ"Ужгородське АТП 12107"</w:t>
            </w:r>
          </w:p>
        </w:tc>
      </w:tr>
      <w:tr w:rsidR="0077060C"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3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Ідентифікаційний код юридичної особи</w:t>
            </w:r>
          </w:p>
        </w:tc>
        <w:tc>
          <w:tcPr>
            <w:tcW w:w="646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03114017</w:t>
            </w:r>
          </w:p>
        </w:tc>
      </w:tr>
      <w:tr w:rsidR="0077060C"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3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державної реєстрації</w:t>
            </w:r>
          </w:p>
        </w:tc>
        <w:tc>
          <w:tcPr>
            <w:tcW w:w="646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24.07.1998</w:t>
            </w:r>
          </w:p>
        </w:tc>
      </w:tr>
      <w:tr w:rsidR="0077060C"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3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Місцезнаходження</w:t>
            </w:r>
          </w:p>
        </w:tc>
        <w:tc>
          <w:tcPr>
            <w:tcW w:w="646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88015, Україна, Закарпатська обл., м.Ужгород, Радiщева,2. Фактичне: 88015, Україна, Закарпатська обл., м.Ужгород, Радiщева,2</w:t>
            </w:r>
          </w:p>
        </w:tc>
      </w:tr>
      <w:tr w:rsidR="0077060C"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6</w:t>
            </w:r>
          </w:p>
        </w:tc>
        <w:tc>
          <w:tcPr>
            <w:tcW w:w="3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для листування</w:t>
            </w:r>
          </w:p>
        </w:tc>
        <w:tc>
          <w:tcPr>
            <w:tcW w:w="646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Україна,  88015 м. Ужгород, вул.Радiщева,2</w:t>
            </w:r>
          </w:p>
        </w:tc>
      </w:tr>
      <w:tr w:rsidR="0077060C"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7</w:t>
            </w:r>
          </w:p>
        </w:tc>
        <w:tc>
          <w:tcPr>
            <w:tcW w:w="3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яка розкриває інформацію</w:t>
            </w:r>
          </w:p>
        </w:tc>
        <w:tc>
          <w:tcPr>
            <w:tcW w:w="646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Емітент</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Особа, яка надає забезпечення</w:t>
            </w:r>
          </w:p>
        </w:tc>
      </w:tr>
      <w:tr w:rsidR="0077060C"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8</w:t>
            </w:r>
          </w:p>
        </w:tc>
        <w:tc>
          <w:tcPr>
            <w:tcW w:w="3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має статус підприємства, що становить суспільний інтерес</w:t>
            </w:r>
          </w:p>
        </w:tc>
        <w:tc>
          <w:tcPr>
            <w:tcW w:w="646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Так</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Ні</w:t>
            </w:r>
          </w:p>
        </w:tc>
      </w:tr>
      <w:tr w:rsidR="0077060C"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9</w:t>
            </w:r>
          </w:p>
        </w:tc>
        <w:tc>
          <w:tcPr>
            <w:tcW w:w="3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Категорія підприємства</w:t>
            </w:r>
          </w:p>
        </w:tc>
        <w:tc>
          <w:tcPr>
            <w:tcW w:w="646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Велике</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Середнє</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Мале</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Мікро</w:t>
            </w:r>
          </w:p>
        </w:tc>
      </w:tr>
      <w:tr w:rsidR="0077060C"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10</w:t>
            </w:r>
          </w:p>
        </w:tc>
        <w:tc>
          <w:tcPr>
            <w:tcW w:w="3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електронної пошти для офіційного каналу зв'язку</w:t>
            </w:r>
          </w:p>
        </w:tc>
        <w:tc>
          <w:tcPr>
            <w:tcW w:w="646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atp-12107@ukr.net</w:t>
            </w:r>
          </w:p>
        </w:tc>
      </w:tr>
      <w:tr w:rsidR="0077060C"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11</w:t>
            </w:r>
          </w:p>
        </w:tc>
        <w:tc>
          <w:tcPr>
            <w:tcW w:w="3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вебсайту</w:t>
            </w:r>
          </w:p>
        </w:tc>
        <w:tc>
          <w:tcPr>
            <w:tcW w:w="646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atp-12107.emitents.net.ua</w:t>
            </w:r>
          </w:p>
        </w:tc>
      </w:tr>
      <w:tr w:rsidR="0077060C"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12</w:t>
            </w:r>
          </w:p>
        </w:tc>
        <w:tc>
          <w:tcPr>
            <w:tcW w:w="3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Номер телефону</w:t>
            </w:r>
          </w:p>
        </w:tc>
        <w:tc>
          <w:tcPr>
            <w:tcW w:w="646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0505551165</w:t>
            </w:r>
          </w:p>
        </w:tc>
      </w:tr>
      <w:tr w:rsidR="0077060C"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13</w:t>
            </w:r>
          </w:p>
        </w:tc>
        <w:tc>
          <w:tcPr>
            <w:tcW w:w="3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Статутний капітал, грн</w:t>
            </w:r>
          </w:p>
        </w:tc>
        <w:tc>
          <w:tcPr>
            <w:tcW w:w="646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12963377</w:t>
            </w:r>
          </w:p>
        </w:tc>
      </w:tr>
      <w:tr w:rsidR="0077060C"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14</w:t>
            </w:r>
          </w:p>
        </w:tc>
        <w:tc>
          <w:tcPr>
            <w:tcW w:w="3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Відсоток акцій (часток/паїв) у статутному капіталі, що належить державі</w:t>
            </w:r>
          </w:p>
        </w:tc>
        <w:tc>
          <w:tcPr>
            <w:tcW w:w="646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w:t>
            </w:r>
          </w:p>
        </w:tc>
      </w:tr>
      <w:tr w:rsidR="0077060C"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15</w:t>
            </w:r>
          </w:p>
        </w:tc>
        <w:tc>
          <w:tcPr>
            <w:tcW w:w="3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646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w:t>
            </w:r>
          </w:p>
        </w:tc>
      </w:tr>
      <w:tr w:rsidR="0077060C"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16</w:t>
            </w:r>
          </w:p>
        </w:tc>
        <w:tc>
          <w:tcPr>
            <w:tcW w:w="3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Середня кількість працівників за звітний період</w:t>
            </w:r>
          </w:p>
        </w:tc>
        <w:tc>
          <w:tcPr>
            <w:tcW w:w="646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147</w:t>
            </w:r>
          </w:p>
        </w:tc>
      </w:tr>
      <w:tr w:rsidR="0077060C"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17</w:t>
            </w:r>
          </w:p>
        </w:tc>
        <w:tc>
          <w:tcPr>
            <w:tcW w:w="3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Витрати на оплату праці, тис. грн (для розрахунку фіктивності для суб'єктів малого підприємництва)</w:t>
            </w:r>
          </w:p>
        </w:tc>
        <w:tc>
          <w:tcPr>
            <w:tcW w:w="646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p>
        </w:tc>
      </w:tr>
      <w:tr w:rsidR="0077060C"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18</w:t>
            </w:r>
          </w:p>
        </w:tc>
        <w:tc>
          <w:tcPr>
            <w:tcW w:w="3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Основні види діяльності із зазначенням їх найменування та коду за КВЕД</w:t>
            </w:r>
          </w:p>
        </w:tc>
        <w:tc>
          <w:tcPr>
            <w:tcW w:w="646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49.31 - Пасажирський наземний транспорт мiського та примiського сполучення</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49,39 - Iнший пасажирський наземний транспорт</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68,20 - Надання в оренду й експлуатацiю власного чи орендованого нерухомого майна</w:t>
            </w:r>
          </w:p>
        </w:tc>
      </w:tr>
      <w:tr w:rsidR="0077060C"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19</w:t>
            </w:r>
          </w:p>
        </w:tc>
        <w:tc>
          <w:tcPr>
            <w:tcW w:w="3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Структура управління особи</w:t>
            </w:r>
          </w:p>
        </w:tc>
        <w:tc>
          <w:tcPr>
            <w:tcW w:w="646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Однорівнева</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V</w:t>
            </w:r>
            <w:r>
              <w:rPr>
                <w:rFonts w:ascii="Times New Roman CYR" w:hAnsi="Times New Roman CYR" w:cs="Times New Roman CYR"/>
                <w:sz w:val="24"/>
                <w:szCs w:val="24"/>
              </w:rPr>
              <w:tab/>
              <w:t>Дворівнева</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Інше</w:t>
            </w: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Банки, що обслуговують особу: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3500"/>
        <w:gridCol w:w="6465"/>
      </w:tblGrid>
      <w:tr w:rsidR="0077060C"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3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Повне найменування (в т.ч. філії, відділення банку)</w:t>
            </w:r>
          </w:p>
        </w:tc>
        <w:tc>
          <w:tcPr>
            <w:tcW w:w="646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Акцiонерне товариство "Державний експортно-iмпортний банк України</w:t>
            </w:r>
          </w:p>
        </w:tc>
      </w:tr>
      <w:tr w:rsidR="0077060C"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Ідентифікаційний код юридичної особи</w:t>
            </w:r>
          </w:p>
        </w:tc>
        <w:tc>
          <w:tcPr>
            <w:tcW w:w="646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00032112</w:t>
            </w:r>
          </w:p>
        </w:tc>
      </w:tr>
      <w:tr w:rsidR="0077060C"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IBAN</w:t>
            </w:r>
          </w:p>
        </w:tc>
        <w:tc>
          <w:tcPr>
            <w:tcW w:w="646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UA623223130000026007000039703</w:t>
            </w:r>
          </w:p>
        </w:tc>
      </w:tr>
      <w:tr w:rsidR="0077060C"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3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Валюта рахунку</w:t>
            </w:r>
          </w:p>
        </w:tc>
        <w:tc>
          <w:tcPr>
            <w:tcW w:w="646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гривня</w:t>
            </w: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2. Органи управління та посадові особи. Організаційна структура</w:t>
      </w:r>
    </w:p>
    <w:p w:rsidR="0077060C" w:rsidRDefault="0077060C" w:rsidP="0077060C">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Органи управління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1450"/>
        <w:gridCol w:w="4000"/>
        <w:gridCol w:w="4000"/>
      </w:tblGrid>
      <w:tr w:rsidR="0077060C"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з/п</w:t>
            </w:r>
          </w:p>
        </w:tc>
        <w:tc>
          <w:tcPr>
            <w:tcW w:w="14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органу управління (контролю)</w:t>
            </w:r>
          </w:p>
        </w:tc>
        <w:tc>
          <w:tcPr>
            <w:tcW w:w="4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Кількісний склад органу управління (контролю)</w:t>
            </w:r>
          </w:p>
        </w:tc>
        <w:tc>
          <w:tcPr>
            <w:tcW w:w="40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Персональний склад органу управління (контролю)</w:t>
            </w:r>
          </w:p>
        </w:tc>
      </w:tr>
      <w:tr w:rsidR="0077060C"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4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4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40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77060C"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4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Загальнi збори акцiонерiв</w:t>
            </w:r>
          </w:p>
        </w:tc>
        <w:tc>
          <w:tcPr>
            <w:tcW w:w="4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Вищий орган товариства</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Акцiонери та їх представники</w:t>
            </w:r>
          </w:p>
        </w:tc>
      </w:tr>
      <w:tr w:rsidR="0077060C"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4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Наглядова рада</w:t>
            </w:r>
          </w:p>
        </w:tc>
        <w:tc>
          <w:tcPr>
            <w:tcW w:w="4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Голова  та члени наглядової ради в складi 2 осiб</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Шкрiбляк Андрiй Миколайович голова НР</w:t>
            </w:r>
          </w:p>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Члени:</w:t>
            </w:r>
          </w:p>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Товт Наталiя Андрiївна</w:t>
            </w:r>
          </w:p>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r>
      <w:tr w:rsidR="0077060C"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4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Виконавчий орган</w:t>
            </w:r>
          </w:p>
        </w:tc>
        <w:tc>
          <w:tcPr>
            <w:tcW w:w="4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Директор</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Козун Володимир Iванович</w:t>
            </w: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rPr>
        <w:sectPr w:rsidR="0077060C">
          <w:pgSz w:w="12240" w:h="15840"/>
          <w:pgMar w:top="570" w:right="720" w:bottom="570" w:left="720" w:header="708" w:footer="708" w:gutter="0"/>
          <w:cols w:space="720"/>
          <w:noEndnote/>
        </w:sect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Інформація щодо посадових осіб</w:t>
      </w: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050"/>
        <w:gridCol w:w="2100"/>
        <w:gridCol w:w="1100"/>
        <w:gridCol w:w="800"/>
        <w:gridCol w:w="1000"/>
        <w:gridCol w:w="1000"/>
        <w:gridCol w:w="900"/>
        <w:gridCol w:w="2000"/>
        <w:gridCol w:w="1400"/>
        <w:gridCol w:w="1400"/>
        <w:gridCol w:w="1100"/>
      </w:tblGrid>
      <w:tr w:rsidR="0077060C"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Стаж роботи (років)</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Повне найменування, ідентифікаційний код юридичної особи та посада(и), яку(і) займав(є)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 набуття повноважень та строк, на який обрано</w:t>
            </w:r>
          </w:p>
        </w:tc>
        <w:tc>
          <w:tcPr>
            <w:tcW w:w="14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Непогашена судимість за корисливі та посадові злочини (Так/Ні)</w:t>
            </w:r>
          </w:p>
        </w:tc>
        <w:tc>
          <w:tcPr>
            <w:tcW w:w="11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Стать чоловіча/ жіноча - (ч/ж)</w:t>
            </w:r>
          </w:p>
        </w:tc>
      </w:tr>
      <w:tr w:rsidR="0077060C"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10</w:t>
            </w:r>
          </w:p>
        </w:tc>
        <w:tc>
          <w:tcPr>
            <w:tcW w:w="14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11</w:t>
            </w:r>
          </w:p>
        </w:tc>
        <w:tc>
          <w:tcPr>
            <w:tcW w:w="11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12</w:t>
            </w:r>
          </w:p>
        </w:tc>
      </w:tr>
      <w:tr w:rsidR="0077060C"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Голова Наглядової ради</w:t>
            </w:r>
          </w:p>
        </w:tc>
        <w:tc>
          <w:tcPr>
            <w:tcW w:w="21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Шкрiбляк Андрiй Миколайович</w:t>
            </w:r>
          </w:p>
        </w:tc>
        <w:tc>
          <w:tcPr>
            <w:tcW w:w="11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1970</w:t>
            </w:r>
          </w:p>
        </w:tc>
        <w:tc>
          <w:tcPr>
            <w:tcW w:w="1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Тернопiльська Академiя народного господарства, економiст</w:t>
            </w:r>
          </w:p>
        </w:tc>
        <w:tc>
          <w:tcPr>
            <w:tcW w:w="9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29</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АТ "Ужгородське АТП-12107"</w:t>
            </w:r>
          </w:p>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03114017</w:t>
            </w:r>
          </w:p>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Директор ринку авторинку АТ "Ужгородське АТП 12107"</w:t>
            </w:r>
          </w:p>
        </w:tc>
        <w:tc>
          <w:tcPr>
            <w:tcW w:w="14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27.04.2018</w:t>
            </w:r>
          </w:p>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 роки</w:t>
            </w:r>
          </w:p>
        </w:tc>
        <w:tc>
          <w:tcPr>
            <w:tcW w:w="14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w:t>
            </w:r>
          </w:p>
        </w:tc>
      </w:tr>
      <w:tr w:rsidR="0077060C"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0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Член Наглядової ради</w:t>
            </w:r>
          </w:p>
        </w:tc>
        <w:tc>
          <w:tcPr>
            <w:tcW w:w="21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Товт Наталiя Андрiївна</w:t>
            </w:r>
          </w:p>
        </w:tc>
        <w:tc>
          <w:tcPr>
            <w:tcW w:w="11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1969</w:t>
            </w:r>
          </w:p>
        </w:tc>
        <w:tc>
          <w:tcPr>
            <w:tcW w:w="1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w:t>
            </w:r>
          </w:p>
        </w:tc>
        <w:tc>
          <w:tcPr>
            <w:tcW w:w="9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40</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 працює</w:t>
            </w:r>
          </w:p>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1754605868</w:t>
            </w:r>
          </w:p>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пенсiонерка</w:t>
            </w:r>
          </w:p>
        </w:tc>
        <w:tc>
          <w:tcPr>
            <w:tcW w:w="14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27.04.2018</w:t>
            </w:r>
          </w:p>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 роки</w:t>
            </w:r>
          </w:p>
        </w:tc>
        <w:tc>
          <w:tcPr>
            <w:tcW w:w="14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ж</w:t>
            </w: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Виконавчий орган</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050"/>
        <w:gridCol w:w="2100"/>
        <w:gridCol w:w="1100"/>
        <w:gridCol w:w="800"/>
        <w:gridCol w:w="1000"/>
        <w:gridCol w:w="1000"/>
        <w:gridCol w:w="900"/>
        <w:gridCol w:w="2000"/>
        <w:gridCol w:w="1400"/>
        <w:gridCol w:w="1400"/>
        <w:gridCol w:w="1100"/>
      </w:tblGrid>
      <w:tr w:rsidR="0077060C"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Стаж роботи (років)</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Повне найменування, ідентифікаційний код юридичної особи та посада(и), яку(і) займав(є)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 набуття повноважень та строк, на який обрано</w:t>
            </w:r>
          </w:p>
        </w:tc>
        <w:tc>
          <w:tcPr>
            <w:tcW w:w="14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Непогашена судимість за корисливі та посадові злочини (Так/Ні)</w:t>
            </w:r>
          </w:p>
        </w:tc>
        <w:tc>
          <w:tcPr>
            <w:tcW w:w="11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Стать чоловіча/ жіноча - (ч/ж)</w:t>
            </w:r>
          </w:p>
        </w:tc>
      </w:tr>
      <w:tr w:rsidR="0077060C"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10</w:t>
            </w:r>
          </w:p>
        </w:tc>
        <w:tc>
          <w:tcPr>
            <w:tcW w:w="14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11</w:t>
            </w:r>
          </w:p>
        </w:tc>
        <w:tc>
          <w:tcPr>
            <w:tcW w:w="11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12</w:t>
            </w:r>
          </w:p>
        </w:tc>
      </w:tr>
      <w:tr w:rsidR="0077060C"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Директор</w:t>
            </w:r>
          </w:p>
        </w:tc>
        <w:tc>
          <w:tcPr>
            <w:tcW w:w="21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Козун Володимир Iванович</w:t>
            </w:r>
          </w:p>
        </w:tc>
        <w:tc>
          <w:tcPr>
            <w:tcW w:w="11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1960</w:t>
            </w:r>
          </w:p>
        </w:tc>
        <w:tc>
          <w:tcPr>
            <w:tcW w:w="1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Львiвський полiтехнiчний iнститут, iнженер</w:t>
            </w:r>
          </w:p>
        </w:tc>
        <w:tc>
          <w:tcPr>
            <w:tcW w:w="9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40</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АТ "Ужгородське АТП-12107"</w:t>
            </w:r>
          </w:p>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03114017</w:t>
            </w:r>
          </w:p>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Директор</w:t>
            </w:r>
          </w:p>
        </w:tc>
        <w:tc>
          <w:tcPr>
            <w:tcW w:w="14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27.04.2018</w:t>
            </w:r>
          </w:p>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 рокiв</w:t>
            </w:r>
          </w:p>
        </w:tc>
        <w:tc>
          <w:tcPr>
            <w:tcW w:w="14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w:t>
            </w: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Інші посадові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050"/>
        <w:gridCol w:w="2100"/>
        <w:gridCol w:w="1100"/>
        <w:gridCol w:w="800"/>
        <w:gridCol w:w="1000"/>
        <w:gridCol w:w="1000"/>
        <w:gridCol w:w="900"/>
        <w:gridCol w:w="2000"/>
        <w:gridCol w:w="1400"/>
        <w:gridCol w:w="1400"/>
        <w:gridCol w:w="1100"/>
      </w:tblGrid>
      <w:tr w:rsidR="0077060C"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0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1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8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Рік народження</w:t>
            </w:r>
          </w:p>
        </w:tc>
        <w:tc>
          <w:tcPr>
            <w:tcW w:w="1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Освіта</w:t>
            </w:r>
          </w:p>
        </w:tc>
        <w:tc>
          <w:tcPr>
            <w:tcW w:w="9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Стаж роботи (років)</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xml:space="preserve">Повне найменування, ідентифікаційний код юридичної </w:t>
            </w:r>
            <w:r>
              <w:rPr>
                <w:rFonts w:ascii="Times New Roman CYR" w:hAnsi="Times New Roman CYR" w:cs="Times New Roman CYR"/>
                <w:sz w:val="20"/>
                <w:szCs w:val="20"/>
              </w:rPr>
              <w:lastRenderedPageBreak/>
              <w:t>особи та посада(и), яку(і) займав(є) за останні 5 років</w:t>
            </w:r>
          </w:p>
        </w:tc>
        <w:tc>
          <w:tcPr>
            <w:tcW w:w="14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lastRenderedPageBreak/>
              <w:t>Дата набуття повноважень та строк, на який обрано</w:t>
            </w:r>
          </w:p>
        </w:tc>
        <w:tc>
          <w:tcPr>
            <w:tcW w:w="14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xml:space="preserve">Непогашена судимість за корисливі та посадові </w:t>
            </w:r>
            <w:r>
              <w:rPr>
                <w:rFonts w:ascii="Times New Roman CYR" w:hAnsi="Times New Roman CYR" w:cs="Times New Roman CYR"/>
                <w:sz w:val="20"/>
                <w:szCs w:val="20"/>
              </w:rPr>
              <w:lastRenderedPageBreak/>
              <w:t>злочини (Так/Ні)</w:t>
            </w:r>
          </w:p>
        </w:tc>
        <w:tc>
          <w:tcPr>
            <w:tcW w:w="11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lastRenderedPageBreak/>
              <w:t>Стать чоловіча/ жіноча - (ч/ж)</w:t>
            </w:r>
          </w:p>
        </w:tc>
      </w:tr>
      <w:tr w:rsidR="0077060C"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lastRenderedPageBreak/>
              <w:t>1</w:t>
            </w:r>
          </w:p>
        </w:tc>
        <w:tc>
          <w:tcPr>
            <w:tcW w:w="20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1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8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9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c>
          <w:tcPr>
            <w:tcW w:w="14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10</w:t>
            </w:r>
          </w:p>
        </w:tc>
        <w:tc>
          <w:tcPr>
            <w:tcW w:w="14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11</w:t>
            </w:r>
          </w:p>
        </w:tc>
        <w:tc>
          <w:tcPr>
            <w:tcW w:w="11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12</w:t>
            </w:r>
          </w:p>
        </w:tc>
      </w:tr>
      <w:tr w:rsidR="0077060C" w:rsidTr="00016A2D">
        <w:tblPrEx>
          <w:tblCellMar>
            <w:top w:w="0" w:type="dxa"/>
            <w:bottom w:w="0" w:type="dxa"/>
          </w:tblCellMar>
        </w:tblPrEx>
        <w:trPr>
          <w:trHeight w:val="200"/>
        </w:trPr>
        <w:tc>
          <w:tcPr>
            <w:tcW w:w="5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Головний бухгалтер</w:t>
            </w:r>
          </w:p>
        </w:tc>
        <w:tc>
          <w:tcPr>
            <w:tcW w:w="21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Лангазов Людмила Iванiвна</w:t>
            </w:r>
          </w:p>
        </w:tc>
        <w:tc>
          <w:tcPr>
            <w:tcW w:w="11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8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1962</w:t>
            </w:r>
          </w:p>
        </w:tc>
        <w:tc>
          <w:tcPr>
            <w:tcW w:w="1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Вища, УжДУ, економiчний факультет</w:t>
            </w:r>
          </w:p>
        </w:tc>
        <w:tc>
          <w:tcPr>
            <w:tcW w:w="9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44</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ПАТ "Ужгородське АТП-12107"</w:t>
            </w:r>
          </w:p>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03114017</w:t>
            </w:r>
          </w:p>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Головний бухгалтер</w:t>
            </w:r>
          </w:p>
        </w:tc>
        <w:tc>
          <w:tcPr>
            <w:tcW w:w="14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02.02.1995</w:t>
            </w:r>
          </w:p>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необмежено</w:t>
            </w:r>
          </w:p>
        </w:tc>
        <w:tc>
          <w:tcPr>
            <w:tcW w:w="14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Ні</w:t>
            </w:r>
          </w:p>
        </w:tc>
        <w:tc>
          <w:tcPr>
            <w:tcW w:w="11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ж</w:t>
            </w: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sz w:val="20"/>
          <w:szCs w:val="20"/>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щодо володіння посадовими особами акціями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50"/>
        <w:gridCol w:w="2450"/>
        <w:gridCol w:w="2500"/>
        <w:gridCol w:w="1625"/>
        <w:gridCol w:w="1625"/>
        <w:gridCol w:w="1625"/>
        <w:gridCol w:w="1625"/>
        <w:gridCol w:w="1700"/>
        <w:gridCol w:w="1700"/>
      </w:tblGrid>
      <w:tr w:rsidR="0077060C" w:rsidTr="00016A2D">
        <w:tblPrEx>
          <w:tblCellMar>
            <w:top w:w="0" w:type="dxa"/>
            <w:bottom w:w="0" w:type="dxa"/>
          </w:tblCellMar>
        </w:tblPrEx>
        <w:trPr>
          <w:trHeight w:val="300"/>
        </w:trPr>
        <w:tc>
          <w:tcPr>
            <w:tcW w:w="550" w:type="dxa"/>
            <w:vMerge w:val="restart"/>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з/п</w:t>
            </w:r>
          </w:p>
        </w:tc>
        <w:tc>
          <w:tcPr>
            <w:tcW w:w="2450" w:type="dxa"/>
            <w:vMerge w:val="restart"/>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500" w:type="dxa"/>
            <w:vMerge w:val="restart"/>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Ім'я</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РНОКПП</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УНЗР</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Кількість акцій, шт.</w:t>
            </w:r>
          </w:p>
        </w:tc>
        <w:tc>
          <w:tcPr>
            <w:tcW w:w="1625" w:type="dxa"/>
            <w:vMerge w:val="restart"/>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Від загальної кількості акцій (у відсотках)</w:t>
            </w:r>
          </w:p>
        </w:tc>
        <w:tc>
          <w:tcPr>
            <w:tcW w:w="3400"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Кількість за типами акцій</w:t>
            </w:r>
          </w:p>
        </w:tc>
      </w:tr>
      <w:tr w:rsidR="0077060C" w:rsidTr="00016A2D">
        <w:tblPrEx>
          <w:tblCellMar>
            <w:top w:w="0" w:type="dxa"/>
            <w:bottom w:w="0" w:type="dxa"/>
          </w:tblCellMar>
        </w:tblPrEx>
        <w:trPr>
          <w:trHeight w:val="300"/>
        </w:trPr>
        <w:tc>
          <w:tcPr>
            <w:tcW w:w="550" w:type="dxa"/>
            <w:vMerge/>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2450" w:type="dxa"/>
            <w:vMerge/>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2500" w:type="dxa"/>
            <w:vMerge/>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vMerge/>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7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прості іменні</w:t>
            </w:r>
          </w:p>
        </w:tc>
        <w:tc>
          <w:tcPr>
            <w:tcW w:w="17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привілейовані іменні</w:t>
            </w:r>
          </w:p>
        </w:tc>
      </w:tr>
      <w:tr w:rsidR="0077060C" w:rsidTr="00016A2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4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1625"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1625"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625"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625"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17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c>
          <w:tcPr>
            <w:tcW w:w="17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w:t>
            </w:r>
          </w:p>
        </w:tc>
      </w:tr>
      <w:tr w:rsidR="0077060C" w:rsidTr="00016A2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4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Директор</w:t>
            </w:r>
          </w:p>
        </w:tc>
        <w:tc>
          <w:tcPr>
            <w:tcW w:w="2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Козун Володимир Iванович</w:t>
            </w:r>
          </w:p>
        </w:tc>
        <w:tc>
          <w:tcPr>
            <w:tcW w:w="1625"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227 122</w:t>
            </w:r>
          </w:p>
        </w:tc>
        <w:tc>
          <w:tcPr>
            <w:tcW w:w="1625"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0,43801</w:t>
            </w:r>
          </w:p>
        </w:tc>
        <w:tc>
          <w:tcPr>
            <w:tcW w:w="17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227 122</w:t>
            </w:r>
          </w:p>
        </w:tc>
        <w:tc>
          <w:tcPr>
            <w:tcW w:w="17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77060C" w:rsidTr="00016A2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4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Головний бухгалтер</w:t>
            </w:r>
          </w:p>
        </w:tc>
        <w:tc>
          <w:tcPr>
            <w:tcW w:w="2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Лангазов Людмила Iванiвна</w:t>
            </w:r>
          </w:p>
        </w:tc>
        <w:tc>
          <w:tcPr>
            <w:tcW w:w="1625"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94 567</w:t>
            </w:r>
          </w:p>
        </w:tc>
        <w:tc>
          <w:tcPr>
            <w:tcW w:w="1625"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0,1824</w:t>
            </w:r>
          </w:p>
        </w:tc>
        <w:tc>
          <w:tcPr>
            <w:tcW w:w="17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94 567</w:t>
            </w:r>
          </w:p>
        </w:tc>
        <w:tc>
          <w:tcPr>
            <w:tcW w:w="17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77060C" w:rsidTr="00016A2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24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Голова Наглядової ради</w:t>
            </w:r>
          </w:p>
        </w:tc>
        <w:tc>
          <w:tcPr>
            <w:tcW w:w="2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Шкрiбляк Андрiй Миколайович</w:t>
            </w:r>
          </w:p>
        </w:tc>
        <w:tc>
          <w:tcPr>
            <w:tcW w:w="1625"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16 167 177</w:t>
            </w:r>
          </w:p>
        </w:tc>
        <w:tc>
          <w:tcPr>
            <w:tcW w:w="1625"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31,1785</w:t>
            </w:r>
          </w:p>
        </w:tc>
        <w:tc>
          <w:tcPr>
            <w:tcW w:w="17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16 167 177</w:t>
            </w:r>
          </w:p>
        </w:tc>
        <w:tc>
          <w:tcPr>
            <w:tcW w:w="17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77060C" w:rsidTr="00016A2D">
        <w:tblPrEx>
          <w:tblCellMar>
            <w:top w:w="0" w:type="dxa"/>
            <w:bottom w:w="0" w:type="dxa"/>
          </w:tblCellMar>
        </w:tblPrEx>
        <w:trPr>
          <w:trHeight w:val="300"/>
        </w:trPr>
        <w:tc>
          <w:tcPr>
            <w:tcW w:w="5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24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Член Наглядової ради</w:t>
            </w:r>
          </w:p>
        </w:tc>
        <w:tc>
          <w:tcPr>
            <w:tcW w:w="2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Товт Наталiя Андрiївна</w:t>
            </w:r>
          </w:p>
        </w:tc>
        <w:tc>
          <w:tcPr>
            <w:tcW w:w="1625"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625"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625"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7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7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sz w:val="20"/>
          <w:szCs w:val="20"/>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0"/>
          <w:szCs w:val="20"/>
        </w:rPr>
        <w:sectPr w:rsidR="0077060C">
          <w:pgSz w:w="16837" w:h="11905" w:orient="landscape"/>
          <w:pgMar w:top="570" w:right="720" w:bottom="570" w:left="720" w:header="708" w:footer="708" w:gutter="0"/>
          <w:cols w:space="720"/>
          <w:noEndnote/>
        </w:sect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i/>
          <w:iCs/>
          <w:sz w:val="24"/>
          <w:szCs w:val="24"/>
        </w:rPr>
        <w:lastRenderedPageBreak/>
        <w:t>4. Опис господарської та фінансової діяльності</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1.Належнiсть особи до будь-яких об'єднань пiдприємств, повне найменування та мiсцезнаходження об'єднання, опис дiяльностi об'єднання, строк участi особи у вiдповiдному об'єднаннi, роль особи в об'єднаннi, посилання на вебсайт об'єднання.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Пiдприємство входить в громадське об'єднання автоперевiзникiв - Асоцiацiю "Закарпатавтотранс", яка знаходиться в м.Ужгород, вул.Капушанська,102. Асоцiацiя пердставляє iнтереси автоперевiзникiв в органах виконавчої влади, координує роботу порозробцi та затвердження тарифiв на автоперевезення, захищає iнтереси автоперевiзникiв по рiзних питаннях.</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2.Спiльна дiяльнiсть, яку особа проводить з iншими органiзацiями, пiдприємствами, установами, при цьому зазначаються сума вкладiв, мета вкладiв (отримання прибутку, iншi цiлi) та отриманий фiнансовий результат за звiтний рiк з кожного виду спiльної дiяльностi. Емiтент не проводить спiльну дiяльнiсть з iншими органiзацiями, пiдприємствами, установами.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3.Опис обраної облiкової полiтики (метод нарахування амортизацiї, метод оцiнки вартостi запасiв, метод облiку та оцiнки вартостi фiнансових iнвестицiй тощо).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Бухгалтерський облiк на  пiдприємствi вiвся в вiдповiдностi з вимогами Нацiональних стандартiв БО ( якi не суперечать вимогам МСФЗ).</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Визначення та амортизацiя основних фондiв та нематерiальних активiв.</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Товариство використовує метод оцiнки основних засобiв (крiм земельних дiлянок) по iсторичнiй собiвартостi. Товариство визнає матерiальний об'єкт основним засобом, якщо вiн утримується з метою використання їх у процесi своєї дiяльностi, надання послуг, або для здiйснення адмiнiстративних i соцiально-культурних функцiй, очiкуваний строк корисного використання (експлуатацiї) яких бiльше одного року та вартiсть яких бiльше 6000 грн. Земельнi дiлянки враховуються по переоцiненiй вартостi. Регулярнiсть переоцiнки залежить вiд змiни справедливої вартостi активiв, якi переоцiнюються.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 протязi  звiтнього року  переоцiнка вартостi земельних дiлянок не проводилась через вiдсутнiсть суттєвих причин для її проведення. Амортизацiя основних засобiв призначена для списання суми, що амортизується, впродовж термiну корисного використання активу i розраховується з використанням прямолiнiйного методу. Лiквiдацiйна вартiсть, термiни корисного використання i метод нарахування амортизацiї передивляються на кiнець кожного фiнансового року. Вплив будь-яких змiн, що виникають вiд оцiнок, зроблених в попереднi перiоди, враховується як змiна облiкової оцiнки. Iнвестицiйна  нерухомiсть первiсно оцiнюється за собiвартiстю, включаючи витрати на операцiю. Оцiнка пiсля визнання здiйснюється на основi моделi iсторичної собiвартостi. Нематерiальнi активи зкiнцевими термiнами використання, придбанi в рамках окремих операцiй, враховуються за вартiстю придбання за вирахуванням накопиченої амортизацiї i накопиченого збитку вiд знецiнення. Амортизацiя нараховується рiвномiрно протягом термiну корисного використання нематерiальних активiв. Очiкуванi термiни корисного використання i метод нарахування амортизацiї аналiзуються на кiнець кожного звiтного перiоду. Нематерiальнi активи, якi виникають в результатi договiрних або iнших юридичних прав, амортизуються протягом термiну чинностi цих прав.</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Запаси.</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Одиницею запасiв для цiлей бухгалтерського облiку прийнято вид запасiв.Запаси вiдображаються за найменшою з двох величин: собiвартостi або чистої вартостi реалiзацiї.Оцiнка запасiв при вiдпуску у виробництво здiйснюється за методом iдентифiкованої собiвартостi, а пального - за методом середньозваженої собiвартостi. Середньозважена собiвартiсть одиницi запасiв (паливно-мастильних матерiалiв) розраховується один раз на мiсяць. В зв'язку з тим, що майже всi запаси використовуються для здiйснення автоперевезень i знаходяться на складi незначний час, пiдприємство не проводить їх переоцiнки.Незавершеного виробництва на пiдприємствi немає. До малоцiнних необоротнiх активiв вiдносяться активи з термiном корисного використання бiльше одного року та вартiстю менше 6000грн. Амортизацiя по таких активах нараховується впершому мiсяцi використання об'єктiв у розмiрi 100 вiдсоткiв їх вартостi.</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Визначення грошових коштiв.</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Грошовi кошти включають суму грошей в касi пiдприємства та на рахунках в банку. Суми в iноземних валютах перерахованi по курсу НБУ на момент складання звiту. Пiдприємство має валютнi рахунки в доларах США та Євро для розрахункiв з iноземними партнерами.</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Дебiторська заборгованiсть.</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Дебiторська заборгованiсть , визнається як фiнансовi активи та первiсно оцiнюються за справедливою вартiстю плюс вiдповiднi витрати на проведення операцiй. Вона включає в себе заборгованiсть за наданi та не оплаченi транспортнi послуги по замовленнях, поточну заборгованiсть за реалiзованi квитки автобусних станцiй та орендну плату за наданi в оренду основнi засоби. Якщо є об'єктивне свiдчення того, що вiдбувся збиток вiд зменшення корисностi, балансова вартiсть активу зменшується на суму таких збиткiв iз застосуванням  рахунку резервiв. На Товариствi резерви створюються на основi iндивiдуальної оцiнки окремих дебiторiв.Резерв на покриття збиткiв вiд зменшення корисностi фiнансоваого активу визначається як рiзниця мiж балансовою вартiстю та теперiшньою вартiстю очiкуваних майбутнiх грошових потокiв.</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Кредиторська заборгованiсть.</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Кредиторська заборгованiсть складається в основному за отриманi вiд постачальникiв та вчасно не оплаченi пальне, запчастини та iншi витратнi матерiали, а також iз поточної заборгованостi перед працiвниками по оплатi працi, та по сплатi поточних платежiв i податкiв в бюджет та соцiальнi фонди. Нереальної та простроченої заборгованостi по пiдприємству немає.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Визнання доходу.</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Доходи вiд поточної дiяльностi Товариства складаються з доходiв вiд надання рiзного виду послуг. Їх величина визнається в розмiрi справедливої вартостi винагороди, отриманої або яка пiдлягає отриманню, i являє собою суми до отримання за послуги, наданi в ходi звичайної господарської дiяльностi, за вирахуванням податку на додану вартiсть (ПДВ). Дохiд вiд надання автотранспортних послуг визнається по моменту фактичного виконання послуг за встановленими тарифами ( по маршрутних перевезеннях- на дату реалiзацiї квиткiв на перевезення пасажирiв , по перевезеннях на замовлення юридичних та фiзичних осiб - на дату фактичного виконання замовлення та пiдприсання актiв виконаних робiт). Доходи вiд здачi в оренду майна, надання послуг з передрейсових медоглядiв водiїв та техоглядiв автотранспорту, стоянки автобусiв- визнаються з моменту пiдписання актiв приймання - передачi на виконанi послуги. Iншi доходи (по авторечовому ринку i iн.) , а також отриманi на протязi року бюджетнi субвенцiї на покриття збиткiв вiд перевезення пiльгових категорiй населення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визнаються по моменту отримання коштiв на поточнi рахунки в банку та в касу пiдприємства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4.Опис обраної полiтики щодо фiнансування дiяльностi особи, достатнiсть робочого капiталу для поточних потреб, можливi шляхи покращення лiквiдностi. Товариство не вдається до залучення зовнiшнiх iнвестицiй, а нерозподiлений прибуток, спрямовує на розвиток Товариства i фiнансування його дiяльностi.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 Опис полiтики щодо дослiджень та розробок, сума витрат на дослiдження та розробку за звiтний рiк. Товариство в Українi не веде дiяльностi у сферi дослiджень та розробок.</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6. Iнформацiя щодо продуктiв (товарiв або послуг) особи. Основний дохiд пiдприємство отримує вiд пасажирських автоперевезень. Частка чистого доходу вiд надання послуг з пасажирських автоперевезень в складi всiх наданих послуг становить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2019р. -41316.0 тис.грн.</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 2020р.- 24611.0 тис.грн.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 2021р - 26011.0 тис.грн.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2022р. - 39862.0 тис.грн.</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2023р.- 46939.0 тис.грн.</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Перспективами для збiльшення доходiв та розвитку пiдприємства є розвиток мiжмiських та мiжнародних, в тому числi туристичних перевезень; розвиток мiських та примiських перевезень пасажирiв автобусами великої мiсткостi; введення нового сервiсного обслуговування приватного автотранспорту та розширення послуг по передрейсовому обслуговуваннi та технiчних оглядах автотранспорту iнших перевiзникiв; проведення дiагностики транспортних засобiв; розширення спектру послуг на ринку.</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7. У разi якщо, особа є фiнансовою установою, то вказується iнформацiя передбачена пунктами 1 (в тому числi перелiк банкiвських та фiнансових послуг, якi фактично надавались такою фiнансовою установою протягом звiтного перiоду),Товариство не є фiнансовою установою.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8. Опис ризикiв, як притаманнi дiяльностi особи, пiдходи до управлiння ризиками, заходи особи щодо зменшення впливу ризикiв. Основними ризиками в дiяльностi пiдприємства є нестабiльнiсть економiчної ситуацiї в країнi, що обмежує можливостi прогнозування обсягiв виробництва на майбутнє, </w:t>
      </w:r>
      <w:r>
        <w:rPr>
          <w:rFonts w:ascii="Times New Roman CYR" w:hAnsi="Times New Roman CYR" w:cs="Times New Roman CYR"/>
          <w:sz w:val="24"/>
          <w:szCs w:val="24"/>
        </w:rPr>
        <w:lastRenderedPageBreak/>
        <w:t>постiйне пiдвищення цiн на енергоносiї, що спричиняє також рiст цiн на послуги емiтента.  Дiяльнiсть емiтента не залежить вiд сезонних змiн.</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9. Стратегiя подальшої дiяльностi особи щонайменше на рiк (щодо розширення виробництва, реконструкцiї, полiпшення фiнансового стану, опис iстотних факторiв, якi можуть вплинути на дiяльнiсть особи в майбутньому). В перiод кризової ситуацiї в країнi, товариство повинно забезпечити своєчасну виплату заробiтної плати працiвникам пiдприємства.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Для покращення дохiдностi вiд здiйснення автоперевезень планується проводити роботу для збiльшення нерегулярних та регулярних спецiальних, а також мiжнародних маршрутних перевезень; придбання для цiєї мети нових автобусiв та залучення наявного автотранспорту iнших перевiзникiв через оперативну оренду; проводити роботу по збiльшенню рентабельностi закордонних перевезень. Товариство в минулих роках брало участь в конкурсах для продовження дiючих дозволiв на маршрутнi перевезення, а також розглядати можливiсть вiдкриття нових мiжнародних маршрутiв.</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Також планується продовжити реконструкцiю частини ремонтної бази з метою надання послуг по дiагностицi та технiчному обслуговуванюю автотранспорту фiзичних та юридичних осiб.</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Планується проводити роботу по покращенню благоустрою територiї на авторечовому ринку та збiльшити спектр послуг для фiзичних та юридичних осiб як на ринку, так i використовуючи базу автотранспортного пiдприємства.</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10. Основнi придбання або вiдчуження активiв за останнi п'ять рокiв, а також якщо плануються будь-якi значнi iнвестицiї або придбання, то також необхiдно надати їх опис, включаючи суттєвi умови придбання або iнвестицiї, їх вартiсть i спосiб фiнансування.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 протязi останнiх 5 рокiв Товариством придбано 22 автобуси, 4 - з вiдновлювального капiтального ремонту та 18 бувших в користуваннi, та проведено ряд робiт по капiтальному ремонту кузовiв автобусiв та їх переобладнання.Загальна вартiсть придбання та модернiзацiї транспортних засобiв становить 3736,1 тис.грн. за рахунок кредитних коштiв, внескiв iнвесторiв та власних обiгових коштiв пiдприємства. Всього за 5 останнiх рокiв було придбано, споруджено та проведено реконструкцiю основних засобiв на загальну суму 7388,4тис.грн.(без ПДВ) В минулих роках  було проведено капiтальний ремонт площадки для стоянки автобусiв та придбано транспортних засобiв, машин та обладнання на суму 789,7тис.грн. Джерелом фiнансування даного придбання, ремонтiв та переобладнання є власнi кошти пiдприємства.</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минулих роках Товариство  здiйснили капiтальний ремонт дiючих автобусiв для здiйснення мiських перевезень, провести ремонт будiвель та споруд на територiї пiдприємтва i продовжити роботи по покращенню iнфраструктури ринку,використовуючи як кредитнi так i власнi кошти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11. Основнi засоби особи, включаючи об'єкти оренди та будь-якi значнi правочини особи щодо них; виробничi потужностi та ступiнь використання обладнання, спосiб утримання активiв, мiсцезнаходження основних засобiв. Крiм того, необхiдно описати екологiчнi питання, що можуть позначитися на використаннi активiв пiдприємства, плани капiтального будiвництва, розширення або удосконалення основних засобiв, характер та причини таких планiв, суми видаткiв, у тому числi вже зроблених, методи фiнансування, прогнознi дати початку та закiнчення дiяльностi та очiкуване зростання виробничих потужностей пiсля її завершення. Товариство здiйснює облiк основних засобiв у вiдповiдностi до МСБО 16 "Основнi засоби". Основнi засоби вiдображенi за iсторичною вартiстю за вирахуванням накопиченої амортизацiї та резерву пiд знецiнення (в разi наявностi). Амортизацiя об'єкта основних засобiв починається з моменту, коли актив повнiстю готовий до використання. Величина, яка амортизується визначається як фактична вартiсть активу або iнша сума, що замiнює фактичну вартiсть, за вирахуванням його лiквiдацiйної вартостi. Лiквiдацiйна вартiсть активу являє собою оцiночну суму, яку Товариство отримало б зараз в разi продажу активу, за вирахуванням оцiночних витрат на вибуття, якби стан i вiк даного активу вiдповiдали вiку i стану, якi даний актив матиме наприкiнцi строку корисного використання. Вартiсть, яка амортизується, пiдлягає розподiлу на систематичнiй основi протягом строку корисного використання цього активу. Нарахування амортизацiї основних засобiв здiйснюється iз застосуванням прямолiнiйного методу.</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12. Проблеми, якi впливають на дiяльнiсть особи, в тому числi ступiнь залежностi вiд законодавчих або економiчних обмежень. Основними замовниками на послуги пiдприємства є населення, тому рiвень доходiв на пiдприємствi в значнiй мiрi залежить вiд його платоспроможностi.</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Основними полiтичними факторами, що впливали на дiяльнiсть пiдприємства</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:безвiзовий режим з країнами близького зарубiжжя, якi граничать з Закарпатською областю, що привело до значної плинностi кадрiв на пiдприємствi, та на зменшення пасажиропотоку на примiських та мiжмiських перевезеннях, в той же час вплив на збiльшення кiлькостi нерегулярних (туристичних) перевезень був незначний, через низьку платоспроможнiсть населення. Слiд вiдмiтити деяке збiльшення пасажиропотоку на регулярних маршрутних мiжнародних перевезеннях.</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Фiнансово-економiчними факторами, якi впливають на результати дiяльностi пiдприємства є значний рiвень iнфляцiї по всiх макроекономiчних показниках при майже незмiнних тарифах на перевезення. Недобросовiсна конкуренцiя з боку приватних перевiзникiв, якi мають значно нижче податкове навантаження теж значно впливає на зменшення дохiдностi пiдприємства. Для оновлення рухомого складу (придбання нових автобусiв) значним стримуючим фактором є високi кредитнi ставки в фiнансових установах та вiдсутнiсть державних пiльгових програм для розвитку соцiальних видiв перевезень.  Внаслiдок часткового компенсування втрат вiд перевезень пiльгових категорiй неселення по м.Ужгород мiсцевими органами самоврядування, пiдприємство змогло придбати автобуси малої та середньої мiсткостi, бувших у використаннi, якi задiяло для мiських перевезень громадян. В той же час iснує крайня необхiднiсть для придбання автобусiв середньої та великої мiсткостi для здiйснення мiських перевезень пасажирiв, проте при таких фiнансово-економiчних умовах господарювання, якi були у  звiтньому роцi  роцi, пiдприємство не в змозi виконати це завдання.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Iнвестицiйна полiтика пiдприємства теж в значнiй мiрi буде залежати вiд рiвня вiдшкодування втрат вiд перевезень пiльгових категорiй населення та вiд пiдвищення тарифiв на мiськi перевезення.</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Важливим виробничо - технiчним фактором є значний рiвень зношеностi рухомого складу , що зумовлює великi витрати на ремонт та пiдтримання транспорту в робочому станi.</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Важливим соцiальним фактором є недостатня компенсацiя збиткiв вiд перевезення пiльгових категорiй населення.</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13. Вартiсть укладених, але ще не виконаних договорiв (контрактiв) на кiнець звiтного перiоду (загальний пiдсумок) та очiкуванi прибутки вiд виконання цих договорiв (контрактiв). Укладених але не виконаних договорiв немає.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14. Середньооблiкова чисельнiсть штатних працiвникiв особи, середня чисельнiсть позаштатних працiвникiв та осiб, якi працюють за сумiсництвом, чисельнiсть працiвникiв, якi працюють на умовах неповного робочого часу (дня, тижня), розмiр фонду оплати працi. Крiм того, зазначається про факти змiни розмiру фонду оплати працi, його збiльшення або зменшення вiдносно попереднього року.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Станом на 31.12.2018р. облiкова чисельнiсть штатних працiвникiв становила 231чол. Крiм того, в 2018р. на пiдприємствi працювало 26 чол. зовнiшнiх сумiсникiв. Фонд оплати працi в 2018р. становив 12006,3 тис.грн. проти 9627,2тис.грн. за 2017р.;</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Зменшення вiдпрацьованого часу вiдбулось за рахунок зменшення чисельностi працiвникiв та скорочення кiлькостi виконаних рейсiв по маршрутних перевезеннях, в першу чергу в мiському режимi.</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Станом на 31.12.2019р. облiкова становила 239 чол. Зменшення середньооблiкової чисельностi пов'язане iз плиннiстю кадрiв, в першу чергу на мiських маршрутах. Фонд оплати працi в 2019р. становив 12622,0 тис.грн.  проти 12006,3 тис.грн. за 2018р.;</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той же час, збiльшення вiдпрацьованого часу вiдбулось за рахунок збiльшення  кiлькостi виконаних рейсiв по маршрутних перевезеннях, в першу чергу в мiському режимi. На пiдприємствi постiйно проводиться перепiдготовка водiїв по БР, навчання по охоронi працi, перепiдготовка водiїв по мiжнародних перевезеннях, проводилось навчання водiїв по наданню первинної домедичної допомоги i т.д.</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Станом на 31.12.2020р. облiкова становила 212чол. Зменшення вiдпрацьованого часу вiдбулось за рахунок зменшення чисельностi працiвникiв та скорочення кiлькостi виконаних рейсiв по маршрутних перевезеннях, в першу чергу в мiському режимi. Вiдповiдно вiдбулось i зменшення фонду оплати працi.Фонд оплати працi в 2020р. становив 10768,0 тис.грн.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проти 12622 тис.грн. за 2019р.;</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Станом на 31.12.2021р. облiкова становила 179чол. Зменшення вiдпрацьованого часу вiдбулось за рахунок зменшення чисельностi працiвникiв та скорочення кiлькостi виконаних рейсiв по маршрутних перевезеннях, в першу чергу в мiському режимi. Вiдповiдно вiдбулось i зменшення фонду оплати працi.Фонд оплати працi в 2021р. становив 10568,0 тис.грн.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проти 10768 тис.грн. за 2020р.;</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Станом на 31.12.2022р. облiкова становила 154 чол. Зменшення вiдпрацьованого часу вiдбулось за рахунок зменшення чисельностi працiвникiв та скорочення кiлькостi виконаних рейсiв по маршрутних перевезеннях, в першу чергу в мiському режимi. Вiдповiдно вiдбулось i зменшення фонду оплати працi.Фонд оплати працi в 2022р. становив 8273.0 тис.грн.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проти 10568 тис.грн. за 2021р.;</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Станом на 31.12.2023р. облiкова становила 147 чол. Фонд оплати працi в 2023р. становив 10359.0 тис.грн. проти 8273.0 тис.грн. за 2022р.;</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15. Будь-якi пропозицiї щодо реорганiзацiї з боку третiх осiб, що мали мiсце протягом звiтного перiоду, умови та результати цих пропозицiй. Будь-яких пропозицiй щодо реорганiзацiї з боку третiх осiб, що мали мiсце протягом звiтного перiоду не надходило.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16. Iнша iнформацiя, яка може бути iстотною для оцiнки стейкхолдерами фiнансового стану та результатiв дiяльностi особи.  Вартiсть чистих активiв вiдповiдає вимогам чинного законодавства.Iнша iстотна iнформацiя для iнвесторiв вiдсутня</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щодо отриманих особою ліцензій</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tblPr>
      <w:tblGrid>
        <w:gridCol w:w="3155"/>
        <w:gridCol w:w="1500"/>
        <w:gridCol w:w="1065"/>
        <w:gridCol w:w="3000"/>
        <w:gridCol w:w="1200"/>
      </w:tblGrid>
      <w:tr w:rsidR="0077060C" w:rsidTr="00016A2D">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 діяльності</w:t>
            </w:r>
          </w:p>
        </w:tc>
        <w:tc>
          <w:tcPr>
            <w:tcW w:w="1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Номер ліцензії</w:t>
            </w:r>
          </w:p>
        </w:tc>
        <w:tc>
          <w:tcPr>
            <w:tcW w:w="1065"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видачі</w:t>
            </w:r>
          </w:p>
        </w:tc>
        <w:tc>
          <w:tcPr>
            <w:tcW w:w="3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Орган державної влади, що видав ліцензію</w:t>
            </w:r>
          </w:p>
        </w:tc>
        <w:tc>
          <w:tcPr>
            <w:tcW w:w="12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закінчення строку дії ліцензії (за наявності)</w:t>
            </w:r>
          </w:p>
        </w:tc>
      </w:tr>
      <w:tr w:rsidR="0077060C" w:rsidTr="00016A2D">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065"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3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2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r>
      <w:tr w:rsidR="0077060C" w:rsidTr="00016A2D">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Надання послуг з перевезення пасажирiв та вантажiв автомобiльним транспортом загального користування</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АВ №545256</w:t>
            </w:r>
          </w:p>
        </w:tc>
        <w:tc>
          <w:tcPr>
            <w:tcW w:w="1065"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14.07.2010</w:t>
            </w:r>
          </w:p>
        </w:tc>
        <w:tc>
          <w:tcPr>
            <w:tcW w:w="3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Головна державна iнспекцiя на автомобiльному транспортi</w:t>
            </w:r>
          </w:p>
        </w:tc>
        <w:tc>
          <w:tcPr>
            <w:tcW w:w="12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r>
      <w:tr w:rsidR="0077060C" w:rsidTr="00016A2D">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Медична практика</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АД№071032</w:t>
            </w:r>
          </w:p>
        </w:tc>
        <w:tc>
          <w:tcPr>
            <w:tcW w:w="1065"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18.10.2012</w:t>
            </w:r>
          </w:p>
        </w:tc>
        <w:tc>
          <w:tcPr>
            <w:tcW w:w="3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Мiнiстерство охорони здоров'я</w:t>
            </w:r>
          </w:p>
        </w:tc>
        <w:tc>
          <w:tcPr>
            <w:tcW w:w="12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r>
      <w:tr w:rsidR="0077060C" w:rsidTr="00016A2D">
        <w:tblPrEx>
          <w:tblCellMar>
            <w:top w:w="0" w:type="dxa"/>
            <w:bottom w:w="0" w:type="dxa"/>
          </w:tblCellMar>
        </w:tblPrEx>
        <w:trPr>
          <w:trHeight w:val="200"/>
        </w:trPr>
        <w:tc>
          <w:tcPr>
            <w:tcW w:w="3155"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Централiзоване водопостачання</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АВ №366397</w:t>
            </w:r>
          </w:p>
        </w:tc>
        <w:tc>
          <w:tcPr>
            <w:tcW w:w="1065"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28.01.2013</w:t>
            </w:r>
          </w:p>
        </w:tc>
        <w:tc>
          <w:tcPr>
            <w:tcW w:w="3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Закарпатська обласна державна адмiнiстрацiя</w:t>
            </w:r>
          </w:p>
        </w:tc>
        <w:tc>
          <w:tcPr>
            <w:tcW w:w="12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основні засоби (за залишковою вартістю)</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58"/>
        <w:gridCol w:w="1260"/>
        <w:gridCol w:w="1080"/>
        <w:gridCol w:w="1260"/>
        <w:gridCol w:w="1080"/>
        <w:gridCol w:w="1260"/>
        <w:gridCol w:w="1082"/>
      </w:tblGrid>
      <w:tr w:rsidR="0077060C" w:rsidTr="00016A2D">
        <w:tblPrEx>
          <w:tblCellMar>
            <w:top w:w="0" w:type="dxa"/>
            <w:bottom w:w="0" w:type="dxa"/>
          </w:tblCellMar>
        </w:tblPrEx>
        <w:trPr>
          <w:trHeight w:val="200"/>
        </w:trPr>
        <w:tc>
          <w:tcPr>
            <w:tcW w:w="3058" w:type="dxa"/>
            <w:vMerge w:val="restart"/>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Найменування основних засобів</w:t>
            </w:r>
          </w:p>
        </w:tc>
        <w:tc>
          <w:tcPr>
            <w:tcW w:w="2340"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Власні основні засоби, тис. грн</w:t>
            </w:r>
          </w:p>
        </w:tc>
        <w:tc>
          <w:tcPr>
            <w:tcW w:w="2340"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Орендовані основні засоби, тис. грн</w:t>
            </w:r>
          </w:p>
        </w:tc>
        <w:tc>
          <w:tcPr>
            <w:tcW w:w="2342"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Основні засоби, усього, тис. грн</w:t>
            </w:r>
          </w:p>
        </w:tc>
      </w:tr>
      <w:tr w:rsidR="0077060C" w:rsidTr="00016A2D">
        <w:tblPrEx>
          <w:tblCellMar>
            <w:top w:w="0" w:type="dxa"/>
            <w:bottom w:w="0" w:type="dxa"/>
          </w:tblCellMar>
        </w:tblPrEx>
        <w:trPr>
          <w:trHeight w:val="200"/>
        </w:trPr>
        <w:tc>
          <w:tcPr>
            <w:tcW w:w="3058" w:type="dxa"/>
            <w:vMerge/>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на кінець </w:t>
            </w:r>
            <w:r>
              <w:rPr>
                <w:rFonts w:ascii="Times New Roman CYR" w:hAnsi="Times New Roman CYR" w:cs="Times New Roman CYR"/>
              </w:rPr>
              <w:lastRenderedPageBreak/>
              <w:t>періоду</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на кінець </w:t>
            </w:r>
            <w:r>
              <w:rPr>
                <w:rFonts w:ascii="Times New Roman CYR" w:hAnsi="Times New Roman CYR" w:cs="Times New Roman CYR"/>
              </w:rPr>
              <w:lastRenderedPageBreak/>
              <w:t>періоду</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на початок періоду</w:t>
            </w:r>
          </w:p>
        </w:tc>
        <w:tc>
          <w:tcPr>
            <w:tcW w:w="1082"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на кінець </w:t>
            </w:r>
            <w:r>
              <w:rPr>
                <w:rFonts w:ascii="Times New Roman CYR" w:hAnsi="Times New Roman CYR" w:cs="Times New Roman CYR"/>
              </w:rPr>
              <w:lastRenderedPageBreak/>
              <w:t>періоду</w:t>
            </w:r>
          </w:p>
        </w:tc>
      </w:tr>
      <w:tr w:rsidR="0077060C"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1. 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21 257</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19 787</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3 528</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3 348</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24 785</w:t>
            </w:r>
          </w:p>
        </w:tc>
        <w:tc>
          <w:tcPr>
            <w:tcW w:w="1082"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23 135</w:t>
            </w:r>
          </w:p>
        </w:tc>
      </w:tr>
      <w:tr w:rsidR="0077060C"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3 638</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3 031</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3 638</w:t>
            </w:r>
          </w:p>
        </w:tc>
        <w:tc>
          <w:tcPr>
            <w:tcW w:w="1082"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3 031</w:t>
            </w:r>
          </w:p>
        </w:tc>
      </w:tr>
      <w:tr w:rsidR="0077060C"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104</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58</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104</w:t>
            </w:r>
          </w:p>
        </w:tc>
        <w:tc>
          <w:tcPr>
            <w:tcW w:w="1082"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58</w:t>
            </w:r>
          </w:p>
        </w:tc>
      </w:tr>
      <w:tr w:rsidR="0077060C"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1 742</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928</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3 528</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3 348</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5 270</w:t>
            </w:r>
          </w:p>
        </w:tc>
        <w:tc>
          <w:tcPr>
            <w:tcW w:w="1082"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4 276</w:t>
            </w:r>
          </w:p>
        </w:tc>
      </w:tr>
      <w:tr w:rsidR="0077060C"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15 756</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15 756</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15 756</w:t>
            </w:r>
          </w:p>
        </w:tc>
        <w:tc>
          <w:tcPr>
            <w:tcW w:w="1082"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15 756</w:t>
            </w:r>
          </w:p>
        </w:tc>
      </w:tr>
      <w:tr w:rsidR="0077060C"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w:t>
            </w:r>
          </w:p>
        </w:tc>
        <w:tc>
          <w:tcPr>
            <w:tcW w:w="1082"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w:t>
            </w:r>
          </w:p>
        </w:tc>
      </w:tr>
      <w:tr w:rsidR="0077060C"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2. Невиробничого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інвестиційна нерухомість</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21 257</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19 787</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3 528</w:t>
            </w:r>
          </w:p>
        </w:tc>
        <w:tc>
          <w:tcPr>
            <w:tcW w:w="10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3 348</w:t>
            </w:r>
          </w:p>
        </w:tc>
        <w:tc>
          <w:tcPr>
            <w:tcW w:w="12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24 785</w:t>
            </w:r>
          </w:p>
        </w:tc>
        <w:tc>
          <w:tcPr>
            <w:tcW w:w="1082"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23 135</w:t>
            </w:r>
          </w:p>
        </w:tc>
      </w:tr>
      <w:tr w:rsidR="0077060C" w:rsidTr="00016A2D">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Додаткова інформація</w:t>
            </w:r>
          </w:p>
        </w:tc>
        <w:tc>
          <w:tcPr>
            <w:tcW w:w="7022" w:type="dxa"/>
            <w:gridSpan w:val="6"/>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В 2021роцi було проведено переоцiнку всiх земельних дiлянок до справедливої вартостi згiдно експертної оцiнки, проведеної незалежним  оцiнювачем, наказ №74 вiд 30.12.2021р.</w:t>
            </w:r>
          </w:p>
          <w:p w:rsidR="0077060C" w:rsidRDefault="0077060C"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Всi основнi засоби знаходяться за мiсцем розташування пiдприємства.Причин якi можуть позначитись на використаннi активiв не має. </w:t>
            </w:r>
          </w:p>
          <w:p w:rsidR="0077060C" w:rsidRDefault="0077060C"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Обмежень на використання майна не має.</w:t>
            </w: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щодо вартості чистих активів</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260"/>
        <w:gridCol w:w="2740"/>
        <w:gridCol w:w="3000"/>
        <w:gridCol w:w="3000"/>
      </w:tblGrid>
      <w:tr w:rsidR="0077060C" w:rsidTr="00016A2D">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Найменування показника</w:t>
            </w:r>
          </w:p>
        </w:tc>
        <w:tc>
          <w:tcPr>
            <w:tcW w:w="3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3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попередній період</w:t>
            </w:r>
          </w:p>
        </w:tc>
      </w:tr>
      <w:tr w:rsidR="0077060C" w:rsidTr="00016A2D">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Розрахункова вартість чистих активів, тис.грн</w:t>
            </w:r>
          </w:p>
        </w:tc>
        <w:tc>
          <w:tcPr>
            <w:tcW w:w="3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18 705</w:t>
            </w:r>
          </w:p>
        </w:tc>
        <w:tc>
          <w:tcPr>
            <w:tcW w:w="3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19 004</w:t>
            </w:r>
          </w:p>
        </w:tc>
      </w:tr>
      <w:tr w:rsidR="0077060C" w:rsidTr="00016A2D">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Статутний капітал, тис.грн</w:t>
            </w:r>
          </w:p>
        </w:tc>
        <w:tc>
          <w:tcPr>
            <w:tcW w:w="3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12 693</w:t>
            </w:r>
          </w:p>
        </w:tc>
        <w:tc>
          <w:tcPr>
            <w:tcW w:w="3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12 693</w:t>
            </w:r>
          </w:p>
        </w:tc>
      </w:tr>
      <w:tr w:rsidR="0077060C" w:rsidTr="00016A2D">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Скоригований статутний капітал, тис.грн</w:t>
            </w:r>
          </w:p>
        </w:tc>
        <w:tc>
          <w:tcPr>
            <w:tcW w:w="3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12 693</w:t>
            </w:r>
          </w:p>
        </w:tc>
        <w:tc>
          <w:tcPr>
            <w:tcW w:w="3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12 693</w:t>
            </w:r>
          </w:p>
        </w:tc>
      </w:tr>
      <w:tr w:rsidR="0077060C" w:rsidTr="00016A2D">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Співвідношення (у відсотках) вартості чистих активів особи за звітний період до розміру зареєстрованого статутного капіталу особи</w:t>
            </w:r>
          </w:p>
        </w:tc>
        <w:tc>
          <w:tcPr>
            <w:tcW w:w="3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147</w:t>
            </w:r>
          </w:p>
        </w:tc>
        <w:tc>
          <w:tcPr>
            <w:tcW w:w="3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150</w:t>
            </w:r>
          </w:p>
        </w:tc>
      </w:tr>
      <w:tr w:rsidR="0077060C" w:rsidTr="00016A2D">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Співвідношення (у відсотках) вартості чистих активів особи за звітний період до вартості чистих активів за попередній звітний період</w:t>
            </w:r>
          </w:p>
        </w:tc>
        <w:tc>
          <w:tcPr>
            <w:tcW w:w="3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98</w:t>
            </w:r>
          </w:p>
        </w:tc>
        <w:tc>
          <w:tcPr>
            <w:tcW w:w="3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w:t>
            </w:r>
          </w:p>
        </w:tc>
      </w:tr>
      <w:tr w:rsidR="0077060C" w:rsidTr="00016A2D">
        <w:tblPrEx>
          <w:tblCellMar>
            <w:top w:w="0" w:type="dxa"/>
            <w:bottom w:w="0" w:type="dxa"/>
          </w:tblCellMar>
        </w:tblPrEx>
        <w:trPr>
          <w:trHeight w:val="200"/>
        </w:trPr>
        <w:tc>
          <w:tcPr>
            <w:tcW w:w="126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Висновок</w:t>
            </w:r>
          </w:p>
        </w:tc>
        <w:tc>
          <w:tcPr>
            <w:tcW w:w="8740" w:type="dxa"/>
            <w:gridSpan w:val="3"/>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Розрахунок вартостi чистих активiв виконано вiдповiдно до пункту 2 статтi 16 Закону України "Про акцiонернi товариства" №2465-IX вiд 27.07.2022р. Визначення вартостi чистих активiв проводилося за формулою: Власний капiтал (вартiсть чистих активiв) товариства - рiзниця мiж сукупною вартiстю активiв товариства та вартiстю його зобов'язань перед iншими особами. Розрахункова вартiсть чистих активiв менша статутного (скоригованого статутного капiталу. Чистi активи акцiонерного товариства, за даними останньої рiчної фiнансової звiтностi, становлять менше 50 вiдсоткiв розмiру зареєстрованого статутного капiталу. Вимоги ч. 2 ст. 16 Закону України "Про акцiонернi Товариства" щодо вартостi чистих активiв Товариством  дотримуються.</w:t>
            </w:r>
          </w:p>
          <w:p w:rsidR="0077060C" w:rsidRDefault="0077060C" w:rsidP="00016A2D">
            <w:pPr>
              <w:widowControl w:val="0"/>
              <w:autoSpaceDE w:val="0"/>
              <w:autoSpaceDN w:val="0"/>
              <w:adjustRightInd w:val="0"/>
              <w:spacing w:after="0" w:line="240" w:lineRule="auto"/>
              <w:jc w:val="both"/>
              <w:rPr>
                <w:rFonts w:ascii="Times New Roman CYR" w:hAnsi="Times New Roman CYR" w:cs="Times New Roman CYR"/>
              </w:rPr>
            </w:pPr>
          </w:p>
          <w:p w:rsidR="0077060C" w:rsidRDefault="0077060C" w:rsidP="00016A2D">
            <w:pPr>
              <w:widowControl w:val="0"/>
              <w:autoSpaceDE w:val="0"/>
              <w:autoSpaceDN w:val="0"/>
              <w:adjustRightInd w:val="0"/>
              <w:spacing w:after="0" w:line="240" w:lineRule="auto"/>
              <w:jc w:val="both"/>
              <w:rPr>
                <w:rFonts w:ascii="Times New Roman CYR" w:hAnsi="Times New Roman CYR" w:cs="Times New Roman CYR"/>
              </w:rPr>
            </w:pP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зобов'язання та забезпечення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780"/>
        <w:gridCol w:w="1440"/>
        <w:gridCol w:w="1480"/>
        <w:gridCol w:w="1940"/>
        <w:gridCol w:w="1328"/>
      </w:tblGrid>
      <w:tr w:rsidR="0077060C" w:rsidTr="00016A2D">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Види зобов’язань</w:t>
            </w:r>
          </w:p>
        </w:tc>
        <w:tc>
          <w:tcPr>
            <w:tcW w:w="144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виникнення</w:t>
            </w:r>
          </w:p>
        </w:tc>
        <w:tc>
          <w:tcPr>
            <w:tcW w:w="14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Непогашена частина боргу (тис. грн)</w:t>
            </w:r>
          </w:p>
        </w:tc>
        <w:tc>
          <w:tcPr>
            <w:tcW w:w="194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Відсоток за користування коштами (відсоток річних)</w:t>
            </w:r>
          </w:p>
        </w:tc>
        <w:tc>
          <w:tcPr>
            <w:tcW w:w="1328"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погашення</w:t>
            </w:r>
          </w:p>
        </w:tc>
      </w:tr>
      <w:tr w:rsidR="0077060C" w:rsidTr="00016A2D">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Кредити банку</w:t>
            </w:r>
          </w:p>
        </w:tc>
        <w:tc>
          <w:tcPr>
            <w:tcW w:w="144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77060C" w:rsidTr="00016A2D">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6188" w:type="dxa"/>
            <w:gridSpan w:val="4"/>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r>
      <w:tr w:rsidR="0077060C" w:rsidTr="00016A2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Зобов’язання за цінними паперами</w:t>
            </w:r>
          </w:p>
        </w:tc>
        <w:tc>
          <w:tcPr>
            <w:tcW w:w="144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77060C" w:rsidTr="00016A2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6188" w:type="dxa"/>
            <w:gridSpan w:val="4"/>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r>
      <w:tr w:rsidR="0077060C" w:rsidTr="00016A2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облігаціями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77060C" w:rsidTr="00016A2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іпотечними цінними паперами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77060C" w:rsidTr="00016A2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сертифікатами ФОН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77060C" w:rsidTr="00016A2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векселями (всього):</w:t>
            </w:r>
          </w:p>
        </w:tc>
        <w:tc>
          <w:tcPr>
            <w:tcW w:w="144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77060C" w:rsidTr="00016A2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іншими цінними паперами (у тому числі за деривативами)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77060C" w:rsidTr="00016A2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фінансовими інвестиціями в корпоративні права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77060C" w:rsidTr="00016A2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Податкові зобов'язання</w:t>
            </w:r>
          </w:p>
        </w:tc>
        <w:tc>
          <w:tcPr>
            <w:tcW w:w="144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77060C" w:rsidTr="00016A2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Фінансова допомога на зворотній основі</w:t>
            </w:r>
          </w:p>
        </w:tc>
        <w:tc>
          <w:tcPr>
            <w:tcW w:w="144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77060C" w:rsidTr="00016A2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зобов'язання та забезпечення</w:t>
            </w:r>
          </w:p>
        </w:tc>
        <w:tc>
          <w:tcPr>
            <w:tcW w:w="144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4 576</w:t>
            </w:r>
          </w:p>
        </w:tc>
        <w:tc>
          <w:tcPr>
            <w:tcW w:w="194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77060C" w:rsidTr="00016A2D">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зобов'язань та забезпечень</w:t>
            </w:r>
          </w:p>
        </w:tc>
        <w:tc>
          <w:tcPr>
            <w:tcW w:w="144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4 576</w:t>
            </w:r>
          </w:p>
        </w:tc>
        <w:tc>
          <w:tcPr>
            <w:tcW w:w="194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Інформація про осіб, послугами яких користується особа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Повне найменування або ім'я</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з обмеженою вiдповiдальнiстю "ФК"Захiдна iнвестицiйна група"</w:t>
            </w: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РНОКПП</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УНЗР</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Організаційно-правова форма</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з обмеженою відповідальністю</w:t>
            </w: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30610731</w:t>
            </w: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Місцезнаходження</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76018, Iвано-Франкiвська обл., д/н р-н, м.Iвано-Франкiвськ, площа Мiцкевича, буд.6,офiс 5</w:t>
            </w: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серiя АЕ №263160</w:t>
            </w: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Нацiональна комiсiя з ЦП та ФР</w:t>
            </w: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20.06.2013</w:t>
            </w: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Міжміський код та телефон</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(0342)525-767</w:t>
            </w: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66,19 - Посередництво за договорами по цiнних паперах або товарах.</w:t>
            </w:r>
          </w:p>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66,12 - Посередництво за договорами по цiнних паперах або товарах</w:t>
            </w:r>
          </w:p>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62,01 - Комп'ютерне програмування</w:t>
            </w: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Вид послуг, які надає особа</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Дiяльнiсть з вiдкриття та ведення рахункiв у цiнних паперах власникiв iменних цiнних паперiв</w:t>
            </w: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Повне найменування або ім'я</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Нацiональний депозитарiй України</w:t>
            </w: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РНОКПП</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УНЗР</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Організаційно-правова форма</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Публічне акціонерне товариство</w:t>
            </w: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30370711</w:t>
            </w: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Місцезнаходження</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04071, д/н р-н, м.Київ, Тропiнiна, 7Г</w:t>
            </w: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2092</w:t>
            </w: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НКЦПФР</w:t>
            </w: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01.10.2013</w:t>
            </w: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Міжміський код та телефон</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 482-15-15</w:t>
            </w: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63,11 - Надання iнфраструктури для розмiщення (хостингу), оброблення даних i пов'язану iз цим дiяльнiсть</w:t>
            </w:r>
          </w:p>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18,20 - тиражування звуко, вiдеозаписiв i програмного забезпечення</w:t>
            </w:r>
          </w:p>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62,01 - Комп'ютерне програмування</w:t>
            </w: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Вид послуг, які надає особа</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Послуги щодо обслуговування випуску цiнних паперiв</w:t>
            </w: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Повне найменування або ім'я</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ДЕРЖАВНА УСТАНОВА АГЕНТСТВО З РОЗВИТКУ ИНФРАСТРУКТУРИ ФОНДОВОГО РИНКУ УКРАИНИ</w:t>
            </w: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РНОКПП</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УНЗР</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Організаційно-правова форма</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Державна організація (установа, заклад)</w:t>
            </w: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21676262</w:t>
            </w: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Місцезнаходження</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03150, д/н р-н, м.Київ, АНТОНОВИЧА, будинок 51, офис 1206</w:t>
            </w: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DR/00002/ARM</w:t>
            </w: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НКЦПФР</w:t>
            </w: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18.02.2019</w:t>
            </w: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Міжміський код та телефон</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 287-56-70</w:t>
            </w: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види діяльності із зазначенням їх найменування та коду за КВЕД</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84,13 - Регулювання та сприяння ефективному веденню економiчної дiяльностi.</w:t>
            </w:r>
          </w:p>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63,11 - Оброблення даних, розмiщення iнформацiї на веб-вузлах i пов'язана з ними дiяльнiсть</w:t>
            </w:r>
          </w:p>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62,01 - Комп'ютерне програмування</w:t>
            </w:r>
          </w:p>
        </w:tc>
      </w:tr>
      <w:tr w:rsidR="0077060C" w:rsidTr="00016A2D">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Вид послуг, які надає особа</w:t>
            </w:r>
          </w:p>
        </w:tc>
        <w:tc>
          <w:tcPr>
            <w:tcW w:w="4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Дiяльнiсть з надання iнформацiйних послуг на фондовому ринку</w:t>
            </w: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rPr>
        <w:sectPr w:rsidR="0077060C">
          <w:pgSz w:w="12240" w:h="15840"/>
          <w:pgMar w:top="570" w:right="720" w:bottom="570" w:left="720" w:header="708" w:footer="708" w:gutter="0"/>
          <w:cols w:space="720"/>
          <w:noEndnote/>
        </w:sectPr>
      </w:pP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II. Інформація щодо капіталу та цінних паперів</w:t>
      </w: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Структура капіталу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00"/>
        <w:gridCol w:w="2000"/>
        <w:gridCol w:w="2000"/>
        <w:gridCol w:w="2000"/>
        <w:gridCol w:w="1900"/>
        <w:gridCol w:w="2000"/>
        <w:gridCol w:w="2000"/>
        <w:gridCol w:w="3000"/>
      </w:tblGrid>
      <w:tr w:rsidR="0077060C" w:rsidTr="00016A2D">
        <w:tblPrEx>
          <w:tblCellMar>
            <w:top w:w="0" w:type="dxa"/>
            <w:bottom w:w="0" w:type="dxa"/>
          </w:tblCellMar>
        </w:tblPrEx>
        <w:trPr>
          <w:trHeight w:val="200"/>
        </w:trPr>
        <w:tc>
          <w:tcPr>
            <w:tcW w:w="5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з/п</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Тип та/або клас акцій</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Номер свідоцтва про реєстрацію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акцій, шт.</w:t>
            </w:r>
          </w:p>
        </w:tc>
        <w:tc>
          <w:tcPr>
            <w:tcW w:w="19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Номінальна вартість, грн</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Права та обов'язки</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Наявність публічної пропозиції та/або допуску до торгів на організованих ринках капіталу</w:t>
            </w:r>
          </w:p>
        </w:tc>
        <w:tc>
          <w:tcPr>
            <w:tcW w:w="30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Облік часток особи в обліковій системі часток</w:t>
            </w:r>
          </w:p>
        </w:tc>
      </w:tr>
      <w:tr w:rsidR="0077060C" w:rsidTr="00016A2D">
        <w:tblPrEx>
          <w:tblCellMar>
            <w:top w:w="0" w:type="dxa"/>
            <w:left w:w="28" w:type="dxa"/>
            <w:bottom w:w="0" w:type="dxa"/>
            <w:right w:w="28" w:type="dxa"/>
          </w:tblCellMar>
        </w:tblPrEx>
        <w:trPr>
          <w:trHeight w:val="200"/>
        </w:trPr>
        <w:tc>
          <w:tcPr>
            <w:tcW w:w="5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9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30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r>
      <w:tr w:rsidR="0077060C" w:rsidTr="00016A2D">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Простi iменнi акцiї</w:t>
            </w:r>
          </w:p>
        </w:tc>
        <w:tc>
          <w:tcPr>
            <w:tcW w:w="2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111/1/2014</w:t>
            </w:r>
          </w:p>
        </w:tc>
        <w:tc>
          <w:tcPr>
            <w:tcW w:w="2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51 847 844</w:t>
            </w:r>
          </w:p>
        </w:tc>
        <w:tc>
          <w:tcPr>
            <w:tcW w:w="19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0,25</w:t>
            </w:r>
          </w:p>
        </w:tc>
        <w:tc>
          <w:tcPr>
            <w:tcW w:w="2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Права та обов'язки акцiонерiв визначенi Статутом Товариства.</w:t>
            </w:r>
          </w:p>
        </w:tc>
        <w:tc>
          <w:tcPr>
            <w:tcW w:w="2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Емiтент не здiйснював публiчної пропозицiї, допуску до торгiв на фондовiй бiржi в частинi включення до бiржового реєстру не було</w:t>
            </w:r>
          </w:p>
        </w:tc>
        <w:tc>
          <w:tcPr>
            <w:tcW w:w="3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Облiк часток Товариства здiйснює Центральний депозитарiй</w:t>
            </w: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3. Цінні папери</w:t>
      </w: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випуски акцій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250"/>
        <w:gridCol w:w="1350"/>
        <w:gridCol w:w="2400"/>
        <w:gridCol w:w="1700"/>
        <w:gridCol w:w="1600"/>
        <w:gridCol w:w="1350"/>
        <w:gridCol w:w="1450"/>
        <w:gridCol w:w="1200"/>
        <w:gridCol w:w="1400"/>
        <w:gridCol w:w="1700"/>
      </w:tblGrid>
      <w:tr w:rsidR="0077060C" w:rsidTr="00016A2D">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реєстрації випуску</w:t>
            </w:r>
          </w:p>
        </w:tc>
        <w:tc>
          <w:tcPr>
            <w:tcW w:w="13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Номер свідоцтва про реєстрацію випуску</w:t>
            </w:r>
          </w:p>
        </w:tc>
        <w:tc>
          <w:tcPr>
            <w:tcW w:w="24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Найменування органу, що зареєстрував випуск</w:t>
            </w:r>
          </w:p>
        </w:tc>
        <w:tc>
          <w:tcPr>
            <w:tcW w:w="17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Міжнародний ідентифікаційний номер</w:t>
            </w:r>
          </w:p>
        </w:tc>
        <w:tc>
          <w:tcPr>
            <w:tcW w:w="16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Тип цінного папера</w:t>
            </w:r>
          </w:p>
        </w:tc>
        <w:tc>
          <w:tcPr>
            <w:tcW w:w="13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існування та форма випуску</w:t>
            </w:r>
          </w:p>
        </w:tc>
        <w:tc>
          <w:tcPr>
            <w:tcW w:w="14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Номінальна вартість, грн</w:t>
            </w:r>
          </w:p>
        </w:tc>
        <w:tc>
          <w:tcPr>
            <w:tcW w:w="12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акцій, шт.</w:t>
            </w:r>
          </w:p>
        </w:tc>
        <w:tc>
          <w:tcPr>
            <w:tcW w:w="14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Загальна номінальна вартість, грн</w:t>
            </w:r>
          </w:p>
        </w:tc>
        <w:tc>
          <w:tcPr>
            <w:tcW w:w="17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Частка у статутному капіталі (у відсотках)</w:t>
            </w:r>
          </w:p>
        </w:tc>
      </w:tr>
      <w:tr w:rsidR="0077060C" w:rsidTr="00016A2D">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3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4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7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6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3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4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12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c>
          <w:tcPr>
            <w:tcW w:w="14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w:t>
            </w:r>
          </w:p>
        </w:tc>
        <w:tc>
          <w:tcPr>
            <w:tcW w:w="17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w:t>
            </w:r>
          </w:p>
        </w:tc>
      </w:tr>
      <w:tr w:rsidR="0077060C" w:rsidTr="00016A2D">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07.10.2014</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111/1/2014</w:t>
            </w:r>
          </w:p>
        </w:tc>
        <w:tc>
          <w:tcPr>
            <w:tcW w:w="24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Нацiональна комiсiя з цiнних паперiв та фондового ринку</w:t>
            </w:r>
          </w:p>
        </w:tc>
        <w:tc>
          <w:tcPr>
            <w:tcW w:w="17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UA4000081541</w:t>
            </w:r>
          </w:p>
        </w:tc>
        <w:tc>
          <w:tcPr>
            <w:tcW w:w="16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Акція проста бездокументарна іменна</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Електронні іменні</w:t>
            </w:r>
          </w:p>
        </w:tc>
        <w:tc>
          <w:tcPr>
            <w:tcW w:w="14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0,25</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51 853 508</w:t>
            </w:r>
          </w:p>
        </w:tc>
        <w:tc>
          <w:tcPr>
            <w:tcW w:w="14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12 963 377</w:t>
            </w:r>
          </w:p>
        </w:tc>
        <w:tc>
          <w:tcPr>
            <w:tcW w:w="17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w:t>
            </w:r>
          </w:p>
        </w:tc>
      </w:tr>
      <w:tr w:rsidR="0077060C" w:rsidTr="00016A2D">
        <w:tblPrEx>
          <w:tblCellMar>
            <w:top w:w="0" w:type="dxa"/>
            <w:bottom w:w="0" w:type="dxa"/>
          </w:tblCellMar>
        </w:tblPrEx>
        <w:trPr>
          <w:trHeight w:val="200"/>
        </w:trPr>
        <w:tc>
          <w:tcPr>
            <w:tcW w:w="2600" w:type="dxa"/>
            <w:gridSpan w:val="2"/>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Додаткова інформація</w:t>
            </w:r>
          </w:p>
        </w:tc>
        <w:tc>
          <w:tcPr>
            <w:tcW w:w="12800" w:type="dxa"/>
            <w:gridSpan w:val="8"/>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Послугами рейтингового агенства Товариство не користується.</w:t>
            </w:r>
          </w:p>
          <w:p w:rsidR="0077060C" w:rsidRDefault="0077060C"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Викуп власних акцiй емiтентом не здiйснювався.</w:t>
            </w:r>
          </w:p>
          <w:p w:rsidR="0077060C" w:rsidRDefault="0077060C"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Акцiї простi на пред"явника,привiлейованi iменнi та привiлейованi  на пред"явника не випускались та не реєструвались.</w:t>
            </w:r>
          </w:p>
          <w:p w:rsidR="0077060C" w:rsidRDefault="0077060C"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1. Iнформацiя про облiгацiї емiтента: за звiтний перiод облiгацiї товариство не випускало</w:t>
            </w:r>
          </w:p>
          <w:p w:rsidR="0077060C" w:rsidRDefault="0077060C"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2. Iнформацiя про iншi цiннi папери, випущенi емiтентом: за звiтний перiод товариство не випускало iншi цiннi папери;</w:t>
            </w:r>
          </w:p>
          <w:p w:rsidR="0077060C" w:rsidRDefault="0077060C"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3.Iнформацiя про похiднi цiннi папери емiтента: у товариство вiдсутня iнформацiя про похiднi цiннi папери</w:t>
            </w:r>
          </w:p>
          <w:p w:rsidR="0077060C" w:rsidRDefault="0077060C"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4.-Iiнформацiя про забезпечення випуску боргових цiнних паперiв: товариство борговi цiннi папери не випускало, гарантiю третiх осiб не використовувало</w:t>
            </w:r>
          </w:p>
          <w:p w:rsidR="0077060C" w:rsidRDefault="0077060C"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5.Iнформацiя про придбання власних акцiй емiтентом протягом звiтного перiоду: протягом звiтного власних акцiй Товариство не придбавало. </w:t>
            </w:r>
          </w:p>
          <w:p w:rsidR="0077060C" w:rsidRDefault="0077060C" w:rsidP="00016A2D">
            <w:pPr>
              <w:widowControl w:val="0"/>
              <w:autoSpaceDE w:val="0"/>
              <w:autoSpaceDN w:val="0"/>
              <w:adjustRightInd w:val="0"/>
              <w:spacing w:after="0" w:line="240" w:lineRule="auto"/>
              <w:jc w:val="both"/>
              <w:rPr>
                <w:rFonts w:ascii="Times New Roman CYR" w:hAnsi="Times New Roman CYR" w:cs="Times New Roman CYR"/>
              </w:rPr>
            </w:pP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наявність у власності працівників особи акцій у розмірі понад 0,1 % розміру статутного капіталу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4000"/>
        <w:gridCol w:w="2000"/>
        <w:gridCol w:w="2000"/>
        <w:gridCol w:w="2000"/>
        <w:gridCol w:w="2000"/>
        <w:gridCol w:w="1700"/>
        <w:gridCol w:w="1700"/>
      </w:tblGrid>
      <w:tr w:rsidR="0077060C" w:rsidTr="00016A2D">
        <w:tblPrEx>
          <w:tblCellMar>
            <w:top w:w="0" w:type="dxa"/>
            <w:bottom w:w="0" w:type="dxa"/>
          </w:tblCellMar>
        </w:tblPrEx>
        <w:trPr>
          <w:trHeight w:val="300"/>
        </w:trPr>
        <w:tc>
          <w:tcPr>
            <w:tcW w:w="4000" w:type="dxa"/>
            <w:vMerge w:val="restart"/>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Ім'я</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РНОКПП</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УНЗР</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акцій, шт.</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 загальної кількості акцій (у відсотках)</w:t>
            </w:r>
          </w:p>
        </w:tc>
        <w:tc>
          <w:tcPr>
            <w:tcW w:w="3400"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за типами акцій</w:t>
            </w:r>
          </w:p>
        </w:tc>
      </w:tr>
      <w:tr w:rsidR="0077060C" w:rsidTr="00016A2D">
        <w:tblPrEx>
          <w:tblCellMar>
            <w:top w:w="0" w:type="dxa"/>
            <w:bottom w:w="0" w:type="dxa"/>
          </w:tblCellMar>
        </w:tblPrEx>
        <w:trPr>
          <w:trHeight w:val="300"/>
        </w:trPr>
        <w:tc>
          <w:tcPr>
            <w:tcW w:w="4000" w:type="dxa"/>
            <w:vMerge/>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17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прості іменні</w:t>
            </w:r>
          </w:p>
        </w:tc>
        <w:tc>
          <w:tcPr>
            <w:tcW w:w="17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привілейовані іменні</w:t>
            </w:r>
          </w:p>
        </w:tc>
      </w:tr>
      <w:tr w:rsidR="0077060C" w:rsidTr="00016A2D">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7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7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r>
      <w:tr w:rsidR="0077060C" w:rsidTr="00016A2D">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Козун Володимир Iванович  -директор</w:t>
            </w:r>
          </w:p>
        </w:tc>
        <w:tc>
          <w:tcPr>
            <w:tcW w:w="2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227 122</w:t>
            </w:r>
          </w:p>
        </w:tc>
        <w:tc>
          <w:tcPr>
            <w:tcW w:w="2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0,43801</w:t>
            </w:r>
          </w:p>
        </w:tc>
        <w:tc>
          <w:tcPr>
            <w:tcW w:w="17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227 122</w:t>
            </w:r>
          </w:p>
        </w:tc>
        <w:tc>
          <w:tcPr>
            <w:tcW w:w="17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Шкрiбляк Андрiй Миколайович   - директор авторечового ринку АТ "Ужгородське АТП 12107"</w:t>
            </w:r>
          </w:p>
        </w:tc>
        <w:tc>
          <w:tcPr>
            <w:tcW w:w="2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16 167 177</w:t>
            </w:r>
          </w:p>
        </w:tc>
        <w:tc>
          <w:tcPr>
            <w:tcW w:w="2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31,1785</w:t>
            </w:r>
          </w:p>
        </w:tc>
        <w:tc>
          <w:tcPr>
            <w:tcW w:w="17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16 167 177</w:t>
            </w:r>
          </w:p>
        </w:tc>
        <w:tc>
          <w:tcPr>
            <w:tcW w:w="17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Лангазов Людмила Iванiвна -головний бухгалтер</w:t>
            </w:r>
          </w:p>
        </w:tc>
        <w:tc>
          <w:tcPr>
            <w:tcW w:w="2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94 567</w:t>
            </w:r>
          </w:p>
        </w:tc>
        <w:tc>
          <w:tcPr>
            <w:tcW w:w="2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0,18237</w:t>
            </w:r>
          </w:p>
        </w:tc>
        <w:tc>
          <w:tcPr>
            <w:tcW w:w="17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94 567</w:t>
            </w:r>
          </w:p>
        </w:tc>
        <w:tc>
          <w:tcPr>
            <w:tcW w:w="17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Папазов Олександр Анатолiйович  "Механiк КТП"</w:t>
            </w:r>
          </w:p>
        </w:tc>
        <w:tc>
          <w:tcPr>
            <w:tcW w:w="2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69 222</w:t>
            </w:r>
          </w:p>
        </w:tc>
        <w:tc>
          <w:tcPr>
            <w:tcW w:w="2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0,133495</w:t>
            </w:r>
          </w:p>
        </w:tc>
        <w:tc>
          <w:tcPr>
            <w:tcW w:w="17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69 222</w:t>
            </w:r>
          </w:p>
        </w:tc>
        <w:tc>
          <w:tcPr>
            <w:tcW w:w="17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3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Усього</w:t>
            </w:r>
          </w:p>
        </w:tc>
        <w:tc>
          <w:tcPr>
            <w:tcW w:w="2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16 558 088</w:t>
            </w:r>
          </w:p>
        </w:tc>
        <w:tc>
          <w:tcPr>
            <w:tcW w:w="2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31,932375</w:t>
            </w:r>
          </w:p>
        </w:tc>
        <w:tc>
          <w:tcPr>
            <w:tcW w:w="17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16 558 088</w:t>
            </w:r>
          </w:p>
        </w:tc>
        <w:tc>
          <w:tcPr>
            <w:tcW w:w="17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500"/>
        <w:gridCol w:w="2000"/>
        <w:gridCol w:w="2000"/>
        <w:gridCol w:w="2000"/>
        <w:gridCol w:w="2100"/>
        <w:gridCol w:w="1500"/>
        <w:gridCol w:w="1500"/>
        <w:gridCol w:w="2800"/>
      </w:tblGrid>
      <w:tr w:rsidR="0077060C" w:rsidTr="00016A2D">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реєстрації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Номер свідоцтва про реєстрацію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Міжнародний ідентифікаційний номер</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акцій у випуску, шт.</w:t>
            </w:r>
          </w:p>
        </w:tc>
        <w:tc>
          <w:tcPr>
            <w:tcW w:w="21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Загальна номінальна вартість, грн</w:t>
            </w:r>
          </w:p>
        </w:tc>
        <w:tc>
          <w:tcPr>
            <w:tcW w:w="1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Загальна кількість голосуючих акцій, шт.</w:t>
            </w:r>
          </w:p>
        </w:tc>
        <w:tc>
          <w:tcPr>
            <w:tcW w:w="1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голосуючих акцій, права голосу за якими обмежено, шт.</w:t>
            </w:r>
          </w:p>
        </w:tc>
        <w:tc>
          <w:tcPr>
            <w:tcW w:w="28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Кількість голосуючих акцій, права голосу за якими за результатами обмеження таких прав передано іншій особі, шт.</w:t>
            </w:r>
          </w:p>
        </w:tc>
      </w:tr>
      <w:tr w:rsidR="0077060C" w:rsidTr="00016A2D">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21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28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r>
      <w:tr w:rsidR="0077060C" w:rsidTr="00016A2D">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07.10.2014</w:t>
            </w:r>
          </w:p>
        </w:tc>
        <w:tc>
          <w:tcPr>
            <w:tcW w:w="2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111/1/2014</w:t>
            </w:r>
          </w:p>
        </w:tc>
        <w:tc>
          <w:tcPr>
            <w:tcW w:w="2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UA4000081541</w:t>
            </w:r>
          </w:p>
        </w:tc>
        <w:tc>
          <w:tcPr>
            <w:tcW w:w="20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51 853 508</w:t>
            </w:r>
          </w:p>
        </w:tc>
        <w:tc>
          <w:tcPr>
            <w:tcW w:w="2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12 963 377</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49 533 935</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2 319 573</w:t>
            </w:r>
          </w:p>
        </w:tc>
        <w:tc>
          <w:tcPr>
            <w:tcW w:w="28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300"/>
        </w:trPr>
        <w:tc>
          <w:tcPr>
            <w:tcW w:w="15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Додаткова інформація</w:t>
            </w:r>
          </w:p>
        </w:tc>
        <w:tc>
          <w:tcPr>
            <w:tcW w:w="13900" w:type="dxa"/>
            <w:gridSpan w:val="7"/>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Характеристика обмеження: Характеристика обмеження: Згiдно з п. 10 роздiлу ХV Закону України "Про депозитарну систему України" тi акцiонери, якi не уклали з обраною емiтентом депозитарною установою договору про обслуговування рахунка в цiнних паперах вiд власного iменi або не здiйснили переказ належних йому прав на цiннi папери на свiй рахунок у цiнних паперах, вiдкритий в iншiй депозитарнiй установi, цiннi папери такого власника (якi дають право на участь в органах емiтента) не враховуються при визначеннi кворуму та при голосуваннi в органах емiтента</w:t>
            </w: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rPr>
        <w:sectPr w:rsidR="0077060C">
          <w:pgSz w:w="16837" w:h="11905" w:orient="landscape"/>
          <w:pgMar w:top="570" w:right="720" w:bottom="570" w:left="720" w:header="708" w:footer="708" w:gutter="0"/>
          <w:cols w:space="720"/>
          <w:noEndnote/>
        </w:sectPr>
      </w:pP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III. Фінансова інформація</w:t>
      </w: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Інформація про розмір доходу за видами діяльності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tblPr>
      <w:tblGrid>
        <w:gridCol w:w="4020"/>
        <w:gridCol w:w="2900"/>
        <w:gridCol w:w="2900"/>
      </w:tblGrid>
      <w:tr w:rsidR="0077060C" w:rsidTr="00016A2D">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 діяльності особи із зазначенням найменування та коду за КВЕД</w:t>
            </w:r>
          </w:p>
        </w:tc>
        <w:tc>
          <w:tcPr>
            <w:tcW w:w="29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Розмір доходу особи від реалізації продукції (товарів, робіт, послуг), тис.грн</w:t>
            </w:r>
          </w:p>
        </w:tc>
        <w:tc>
          <w:tcPr>
            <w:tcW w:w="29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Відсоткове вираження по відношенню від сукупного доходу особи за результатами звітного року</w:t>
            </w:r>
          </w:p>
        </w:tc>
      </w:tr>
      <w:tr w:rsidR="0077060C" w:rsidTr="00016A2D">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9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9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r>
      <w:tr w:rsidR="0077060C" w:rsidTr="00016A2D">
        <w:tblPrEx>
          <w:tblCellMar>
            <w:top w:w="0" w:type="dxa"/>
            <w:bottom w:w="0" w:type="dxa"/>
          </w:tblCellMar>
        </w:tblPrEx>
        <w:trPr>
          <w:trHeight w:val="300"/>
        </w:trPr>
        <w:tc>
          <w:tcPr>
            <w:tcW w:w="402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49,31 - Пасажирський наземний транспорт мiського та примiського сполучення</w:t>
            </w:r>
          </w:p>
        </w:tc>
        <w:tc>
          <w:tcPr>
            <w:tcW w:w="29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46939</w:t>
            </w:r>
          </w:p>
        </w:tc>
        <w:tc>
          <w:tcPr>
            <w:tcW w:w="29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w:t>
            </w: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i/>
          <w:iCs/>
          <w:sz w:val="24"/>
          <w:szCs w:val="24"/>
        </w:rPr>
        <w:t>4. Твердження щодо річної інформації</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Керiвництво АТ "Ужгородське АТП 12107" вiд iменi осiб, що здiйснюють управлiнськi функцiї та пiдписують рiчну iнформацiю емiтента, заявляє, що наскiльки це вiдповiдальним особам вiдомо, рiчна фiнансова звiтнiсть, пiдготовлена вiдповiдно до стандартiв бухгалтерського облiку, що вимагаються згiдно iз Законом України "Про бухгалтерський облiк та фiнансову звiтнiсть в Українi", мiстить достовiрне та об'єктивне подання iнформацiї про стан активiв, пасивiв, фiнансовий стан, прибутки та збитки емiтента,а також про те, що звiт керiвництва включає достовiрне та об'єктивне подання iнформацiї про розвиток i здiйснення господарської дiяльностi, разом з описом основних ризикiв та невизначеностей, з якими вони стикаються у своїй господарськiй дiяльностi.</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Вiд iменi керiвництва - директор АТ " Ужгородське АТП 12107"  Козун В.I.</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IV. Нефінансова інформація</w:t>
      </w: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i/>
          <w:iCs/>
          <w:sz w:val="24"/>
          <w:szCs w:val="24"/>
        </w:rPr>
        <w:t>1. Звіт керівництва (звіт про управління)</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Звернення до акціонерів/учасників та інших стейкхолдерів від голови ради особи</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Шановнi акцiонери, працiвники, партнери товариства та всi зацiкавленi особи! У своїй дiяльностi  Наглядова рада  Товариства керується чинним законодавством, Статутом, рiшеннями загальних зборiв акцiонерiв , положенням про НР та iншими внутрiшнiми положеннями Товариства. Для покращення дохiдностi вiд здiйснення автоперевезень планується проводити роботу для збiльшення нерегулярних та регулярних спецiальних, а також мiжнародних маршрутних перевезень; придбання для цiєї мети нових автобусiв та залучення наявного автотранспорту iнших перевiзникiв через оперативну оренду; проводити роботу по збiльшенню рентабельностi закордонних перевезень.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Звернення до акціонерів/учасників та інших стейкхолдерів від керівника особи</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Шановнi акцiонери, працiвники, партнери товариства та всi зацiкавленi особи!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У своїй дiяльностi  директор Товариства керується чинним законодавством, Статутом, рiшеннями загальних зборiв акцiонерiв та наглядової ради, положенням про виконавчий орган та iншими внутрiшнiми положеннями Товариства.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Товариство має велику зношенiсть рухомого складу та потребує його оновлення. Проте для придбання нових автобусiв значним стримуючим фактором є високi кредитнi ставки в фiнансових установах та вiдсутнiсть державних пiльгових програм для розвитку соцiальних видiв перевезень.. Основними ризиками в дiяльностi пiдприємства є нестабiльнiсть економiчної ситуацiї в країнi, що обмежує можливостi прогнозування обсягiв виробництва на майбутнє, постiйне пiдвищення цiн на енергоносiї, що спричиняє також рiст цiн на послуги емiтента. В перiод кризової ситуацiї в країнi, товариство повинно забезпечити своєчасну виплату заробiтної плати працiвникам пiдприємства.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Інформація про розвиток та вірогідні перспективи подальшого розвитку особи</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АТ "Ужгородське автотранспортне пiдприємство 12107" - акцiонерне товариство , основною</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метою якого являється здiйснення пасажирських перевезень автомобiльним транспортом.</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Автотранспортне пiдприємство було створене в березнi 1945 року, як державне пiдприємтво для</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надання автотранспортних послуг по перевезенню пасажирiв та вантажiв, на базi якого в 1954</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роцi було органiзовано автобусно-таксомоторний парк. З 1964 року пiдприємство почало</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обслуговувати закордоннi пасажирськi автоперевезення. В серпнi 1998р. державне пiдприємство</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"Ужгородське АТП 12107"згiдно наказу РВ ФДМУ по Закарпатськiй областi №3/321 вiд</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23.07.1998р. було перетворене в процесi приватизацiї у вiдкрите акцiонерне товариство</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"Ужгородське АТП 12107". З 2006р. на територiї, видiленiй пiдприємству в постiйне</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землекористування пiд розширення пiдприємства було створено авторечовий ринок, який на</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сьогоднi являється найбiльшим ринком в м.Ужгородi. В 2010роцi пiдприємство в вiдповiдностi з</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Законом "Про акцiонернi товариства" та рiшення загальних зборiв акцiонерiв було</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перейменоване з Вiдкритого на Публiчне акцiонерне товариство, а в 2018роцi в вiдповiдностi</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до змiн до Закону "Про акцiонернi товариства" та згiдно рiшення загальних зборiв акцiонерiв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перетворено в приватне акцiонерне товариство.</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Пiдтримування на досягнутому рiвнi обсягiв надання послуг з перевезення пасажирiв.</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Придбання нових автобусiв та пiдвищення регулярностi рейсiв, якостi послуг, реконструкцiя</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адмiнiстративного корпусу. Реконструкцiя торгових мiсць на авто речовому ринку для</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покращення умов роботи орендарiв, збiльшення орендної плати. Можлива змiна призначення</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частини земельної дiлянки по вул. Радiщева на землi комерцiйного призначення для реалiзацiї</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проекту будiвництва житлово-офiсного комплексу.</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 Інформація про укладення деривативних контрактів або вчинення правочинів щодо деривативних цінних паперів емітентом (крім укладених / вчинених особою, яка провадить клірингову діяльність центрального контрагента, у межах провадження нею клірингової діяльності центрального контрагента), якщо це впливає на оцінку його активів, зобов'язань, фінансового стану і доходів або витрат</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не укладало деривативи, та не вчиняло правочинiв щодо похiдних цiнних паперiв, тому не несе фiнансових ризикiв, пов'язаних з обiгом похiдних цiнних паперiв. Намiри щодо вчинення таких правочинiв вiдсутнi.</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Судовi справи, за якими розглядаються позовнi вимоги у розмiрi на суму 1 або бiльше вiдсоткiв активiв емiтента, або судовi справи, стороною в яких виступають посадовi особи емiтента -вiдсутнi.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Завдання та політика особи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Завдань та полiтики товариства щодо управлiння фiнансовими ризиками, у тому числi полiтики щодо страхування кожного основного виду прогнозованої операцiї, для якої використовуються оперцiї хенджування - у товариства  немає.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Схильність особи до цінових ризиків, кредитного ризику, ризику ліквідності та/або ризику грошових потоків</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Товариство має значнi цiновi ризики, на якi не може впливати.Значний рiвень iнфляцiї по всiх</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макроекономiчних показниках при майже незмiнних регульованих тарифах на перевезення</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являється значним фактором для зменшення прибутковостi вiд перевезень. Товариство має</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велику зношенiсть рухомого складу та потребує його оновлення. Проте для придбання нових</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автобусiв значним стримуючим фактором є високi кредитнi ставки в фiнансових установах та</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вiдсутнiсть державних пiльгових програм для розвитку соцiальних видiв перевезень.</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1) звіт про корпоративне управління</w:t>
      </w: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1. Інформація про кодекс корпоративного управління, яким керується особа, та/або практику корпоративного управління особи, застосовувану понад визначені законодавством вимоги</w:t>
      </w: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практику корпоративного управління особи, застосовувану понад визначені законодавством вимоги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4000"/>
        <w:gridCol w:w="1500"/>
        <w:gridCol w:w="4500"/>
      </w:tblGrid>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Відповідність практики (Так/Ні)</w:t>
            </w:r>
          </w:p>
        </w:tc>
        <w:tc>
          <w:tcPr>
            <w:tcW w:w="450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Опис наявної практики/обґрунтування відхилення</w:t>
            </w:r>
          </w:p>
        </w:tc>
      </w:tr>
      <w:tr w:rsidR="0077060C" w:rsidTr="00016A2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1. Цілі особи</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статуті та/або внутрішніх документах особи визначена мета щодо створення довгострокової сталої цінності в інтересах особи та її стейкхолдерів</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Статутi Товариства вказано, що воно створене i дiє з метою отримання прибутку в iнтересах, зокрема, акцiонерiв Товариства</w:t>
            </w:r>
          </w:p>
        </w:tc>
      </w:tr>
      <w:tr w:rsidR="0077060C" w:rsidTr="00016A2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2. Акціонери та стейкхолдери</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Права акціонерів</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Статутi визначенi права акцiонерiв Товариства: Кожною простою акцiєю Товариства її власнику - акцiонеру надається однакова сукупнiсть прав, включаючи права на: - участь в управлiннi Товариством;-отримання дивiдендiв; - отримання у разi лiквiдацiї Товариства частини його майна або вартостi; - отримання iнформацiї про господарську дiяльнiсть Товариства; - придбавати, при здiйсненнi Товариством приватного розмiщення акцiй, розмiщуванi Товариством простi акцiї пропорцiйно частцi належних йому простих акцiй у загальнiй кiлькостi простих акцiй; - переважне право на придбання акцiй, що продаються iншими акцiонерами Товариства, за цiною та на умовах, запропонованих акцiонером третiй особi, пропорцiйно кiлькостi акцiй, що належать кожному з них. Одна проста акцiя Товариства надає акцiонеру один голос для вирiшення кожного питання на Загальних зборах, крiм випадкiв проведення кумулятивного голосування. Акцiонери - власники простих акцiй Товариства мають й iншi права, передбаченi актами законодавства та Статутом Товариства. Обов'язки акцiонерiв Товариства встановлюються виключно Законом</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Права міноритарних акціонерів</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Особливих прав для мiноритарних акцiонерiв не передбачено.</w:t>
            </w:r>
          </w:p>
        </w:tc>
      </w:tr>
      <w:tr w:rsidR="0077060C" w:rsidTr="00016A2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1) загальні збори акціонерів</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Особи, які мають право брати </w:t>
            </w:r>
            <w:r>
              <w:rPr>
                <w:rFonts w:ascii="Times New Roman CYR" w:hAnsi="Times New Roman CYR" w:cs="Times New Roman CYR"/>
                <w:sz w:val="24"/>
                <w:szCs w:val="24"/>
              </w:rPr>
              <w:lastRenderedPageBreak/>
              <w:t>участь у загальних зборах, мають можливість отримувати додаткову інформацію достатню, щоб сформувати поінформовану думку щодо всіх питань, які розглядатимуться під час загальних зборів не менше, ніж за 30 днів до дати їх проведення</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Статутом Товариства передбачена така </w:t>
            </w:r>
            <w:r>
              <w:rPr>
                <w:rFonts w:ascii="Times New Roman CYR" w:hAnsi="Times New Roman CYR" w:cs="Times New Roman CYR"/>
                <w:sz w:val="24"/>
                <w:szCs w:val="24"/>
              </w:rPr>
              <w:lastRenderedPageBreak/>
              <w:t>можливiсть.</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Біографічні дані про кандидатів до складу органів управління, у тому числі про освіту та професійний досвід, розкриваються одночасно із повідомленням про проведення загальних зборів</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Вказанi данi розкриваються на запит акцiонерiв пiсля затвердження у встановленому порядку бюлетеню , куди вноситься передбачена чинним законодавством iнформацiя про кандидатiв.Статутом та внутрiшнiми документами не передбачено розкриття такої iнформацiї.</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Особи, які мають право брати участь у загальних зборах, мають можливість голосувати, а також отримувати матеріали, пов'язані із загальними зборами, дистанційно (за допомогою засобів електронного зв'язку тощо)</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Товариства передбачена така можливiсть.</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Керівник, фінансовий директор, більшість членів ради (більшість невиконавчих директорів ради директорів) і зовнішній аудитор беруть участь у річних загальних зборах</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Законом України "Про акцiонернi товариства" передбачено, що у загальних зборах акцiонерiв за запрошенням особи, яка скликає загальнi збори, також можуть брати участь iншi особи.</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Особи, які мають можливість брати участь у загальних зборах, мають можливість ставити усні запитання стосовно питань порядку денного і отримувати відповіді на них</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випадку, якщо спосiб проведення таких зборiв визначено як очнi або електроннi.</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Детальний регламент проведення загальних зборів визначено статутом та/або внутрішніми документами</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Оприлюднення iнформацiї здiйснюється вiдповiдно до вимог законодавства</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Протокол та рішення загальних зборів (включаючи кількість голосів, поданих "за" та "проти" кожного рішення), а також відповіді на ключові запитання, що були порушені під час загальних зборів, розкриваються протягом 5 робочих днів з дати проведення загальних зборів</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Оприлюднення iнформацiї здiйснюється вiдповiдно до вимог чинного законодавства</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Адреса вебсайту особи забезпечує надання всієї інформації, яка необхідна акціонерам для сприяння їх участі у загальних зборах та інформування про рішення, </w:t>
            </w:r>
            <w:r>
              <w:rPr>
                <w:rFonts w:ascii="Times New Roman CYR" w:hAnsi="Times New Roman CYR" w:cs="Times New Roman CYR"/>
                <w:sz w:val="24"/>
                <w:szCs w:val="24"/>
              </w:rPr>
              <w:lastRenderedPageBreak/>
              <w:t>ухвалені під час загальних зборів</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так</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Оприлюднення iнформацiї здiйснюється вiдповiдно до вимог чинного законодавства.</w:t>
            </w:r>
          </w:p>
        </w:tc>
      </w:tr>
      <w:tr w:rsidR="0077060C" w:rsidTr="00016A2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2) взаємодія з акціонерами</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Радою затверджено та розкрито політику взаємодії з акціонерами, яка визначає параметри взаємовідносин між особою та її акціонерами</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затверджено</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Створено відділ (функцію) з питань взаємодії з інвесторами/акціонерами, який відповідає на запити інвесторів та сприяє участі акціонерів в управлінні особою, а також забезпечує можливість для міноритарних акціонерів донести свої погляди до уваги ради</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створено</w:t>
            </w:r>
          </w:p>
        </w:tc>
      </w:tr>
      <w:tr w:rsidR="0077060C" w:rsidTr="00016A2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3) поглинання</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Радою визначено принципи, як вона діятиме у разі пропозиції щодо поглинання, зокрема:</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 не вчиняти дії щодо протидії поглинанню без відповідного рішення загальних зборів;</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 надавати акціонерам збалансований аналіз недоліків і переваг будь-якої пропозиції щодо поглинання;</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загальні збори приймають остаточне рішення про схвалення або відхилення пропозицій щодо поглинання</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 та акцiонери у разi передпосилок до надходження пропозицiї щодо поглинання, здiйснять заходи щодо пiдготовки до схвалення або вiдхилення цiєї пропозицiї для того, щоб процес вiдбувався на взаємовигiдних умовах.</w:t>
            </w:r>
          </w:p>
        </w:tc>
      </w:tr>
      <w:tr w:rsidR="0077060C" w:rsidTr="00016A2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4) інші стейкхолдери </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Радою затверджено та розкрито політику взаємодії зі стейкхолдерами, яка визначає параметри взаємовідносин між особою та її стейкхолдерами</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Така окрема полiтика взаємодiї зi стейкхолдерами у Товариствi вiдсутня.Наглядовою радою Товариства не затверджувалася полiтика взаємодiї з акцiонерами.</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Особою визначено перелік своїх стейкхолдерів, зокрема і тих, з якими необхідно налагодити безпосередню взаємодію</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товариствi не створено вiддiлу (не призначено вiдповiдальну особу) з питань взаємодiї з iнвесторами/акцiонерами, який вiдповiдає на запити iнвесторiв та сприяє участi акцiонерiв в управлiннi особою, а також забезпечує можливiсть для мiноритарних акцiонерiв донести свої погляди до уваги ради.</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розкриває звіт щодо аспектів взаємодії зі стейкхолдерами</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Обов'язковiсть не передбачена чинним законодавством.</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 не розкриває звiт щодо аспектiв взаємодiї зi стейкхолдерами.</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p>
        </w:tc>
      </w:tr>
      <w:tr w:rsidR="0077060C" w:rsidTr="00016A2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3. Наглядова рада</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не входять до складу наглядових рад у більш ніж 3 інших юридичних особах</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не входять до складу наглядових рад у бiльш нiж 3 iнших юридичних особах.</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Особа веде облік відвідування засідань наглядової ради та її комітетів</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Кiлькiсть членiв наглядової ради емiтента, присутнiх на її засiданнi, зазначається в протоколi наглядової ради. Комiтети наглядовою радою емiтента не створювалися.</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 особи та/або її внутрішні документи визначають і пояснюють обов'язок членів наглядової ради сумлінно виконувати свої функції і дотримуватися принципу лояльності стосовно особи</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наглядову раду емiтента визначає обов'язок членiв ради добросовiсно виконувати свої обов'язки та дiяти в iнтересах емiтента.</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Наглядовій раді та її членам забезпечена можливість доступу до будь-якої інформації, яка необхідна їй для ефективного виконання обов'язків</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мають доступ до будь-якої iнформацiї, яка необхiдна їм для виконання своїх обов"язкiв.доступом, несуть вiдповiдальнiсть за її неправомiрне використання.".</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регулярно оцінює результати діяльності особи та виконавчого органу відповідно до цілей особи</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оцiнює результати дiяльностi емiтента та виконавчого органу при розглядi звiтiу директора</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 особи та/або її внутрішні документи визначають, що наглядова рада не має права втручатися у поточне управління особою, у тому числі у питання, які належать до сфери відповідальності виконавчого органу, крім як у випадках надзвичайних обставин, які визначені належним чином</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Вiдповiдно до чинного законодавства, Статуту та положення про наглядову раду емiтента наглядова рада контролює та регулює дiяльнiсть виконавчого органу, який здiйснює управлiння поточною дiяльнiстю емiтента.</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Розмір і навички членів наглядової ради відповідають потребам особи, її розміру та ступеню складності її діяльності</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емiтента вiдповiдають потребам товариства, а також вимогам щодо дiлової репутацiї та професiйної придатностi, встановленим чинним законодавством.</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Наглядовою радою визначені і регулярно переглядаються кваліфікаційні вимоги до кандидатів у члени наглядової ради</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Окремого внутрiшнiього  документу щодо вимог до кандидатiв у члени наглядової ради  у товариства не має. Товариство керується Положенням про наглядову раду.</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Відбір та призначення членів наглядової ради відбувається на основі професійних якостей, досягнень і відповідності кандидатів конкретним критеріям, а також з урахуванням необхідності періодичного оновлення складу</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Зазначенi вимоги Статутом Товариства та/або внутрiшнiми положеннями не передбаченi.Статутом i Положенням Про наглядову раду Товариства встановлено, що Наглядова рада складається з 3 (трьох) членiв, якi обираються Загальними зборами строком на 3 (три) </w:t>
            </w:r>
            <w:r>
              <w:rPr>
                <w:rFonts w:ascii="Times New Roman CYR" w:hAnsi="Times New Roman CYR" w:cs="Times New Roman CYR"/>
                <w:sz w:val="24"/>
                <w:szCs w:val="24"/>
              </w:rPr>
              <w:lastRenderedPageBreak/>
              <w:t>роки.</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В особі наявна формалізована процедура перевірки кандидатів у члени наглядової ради, яка зокрема включає перевірку добропорядності, наявності конфлікту інтересів, компетентності, навичок і досвіду кандидата</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Така процедура не закрiплена окремим документом.</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Процедура відбору передбачає можливість залучення зовнішніх радників та/або процес відкритого пошуку</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Така процедура у Товариствi вiдсутня.</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розробляє плани наступництва для членів наглядової ради та виконавчого органу</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Обов'язковiсть не передбачена чинним законодавством.Вiдсутня дана практика</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Наглядовою радою затверджено політику щодо різноманіття складу наглядової ради та виконавчого органу</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Незалежнi Члени Наглядової ради.</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Представники однієї зі статей становлять не менше 40 % від складу наглядової ради</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складi Наглядової ради одна особа жiночої статi, двi особи чоловiчої статi.</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2019 роцi припинено повноваження одного члена НР</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Незалежні члени наглядової ради становлять не менше половини від її загального складу</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Незалежнi Члени Наглядової ради.</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проходять вступний тренінг після їх обрання, який серед іншого покриває:</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 обов'язки, функції і сфери відповідальності членів наглядової ради;</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 незалежність, включаючи незалежність мислення;</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порядок роботи наглядової ради;</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 питання відповідальності;</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ґ) питання стратегії особи;</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 політики особи, включаючи питання етики, конфлікту інтересів та запобігання корупції;</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е) питання звітності та систем контролю, включаючи внутрішній та зовнішній аудит;</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є) роль комітетів наглядової ради</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Проходження вступного тренiнгу членами Наглядової ради псля їх обрання не передбачено внутрiшнiм документами Товариства.Члени Наглядової ради самостiйно ознайомлюються з документами та порядком роботи.</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розробляє план навчання, який визначає, з яких питань необхідно пройти додаткове навчання її членам</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План навчання вiдсутнiй.Члени Наглядової ради здiйснюють навчання особисто.</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Голову наглядової ради обрано серед незалежних членів</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Незалежнi Члени Наглядової ради.</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Голові наглядової ради забезпечено можливість для комунікації з </w:t>
            </w:r>
            <w:r>
              <w:rPr>
                <w:rFonts w:ascii="Times New Roman CYR" w:hAnsi="Times New Roman CYR" w:cs="Times New Roman CYR"/>
                <w:sz w:val="24"/>
                <w:szCs w:val="24"/>
              </w:rPr>
              <w:lastRenderedPageBreak/>
              <w:t>акціонерами, у тому числі мажоритарними</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так</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У Товариствi не заборонена комунiкацiя Голови Наглядової ради з акцiонерами, у </w:t>
            </w:r>
            <w:r>
              <w:rPr>
                <w:rFonts w:ascii="Times New Roman CYR" w:hAnsi="Times New Roman CYR" w:cs="Times New Roman CYR"/>
                <w:sz w:val="24"/>
                <w:szCs w:val="24"/>
              </w:rPr>
              <w:lastRenderedPageBreak/>
              <w:t>тому числi - мажоритарними.</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Функції голови наглядової ради визначаються у внутрішніх документах особи</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Функцiї Голови Наглядової ради визначенi чинним законодавством, Статутом Товариства та Внутрiшнiм положенням про Наглядову раду Товариства..</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Створена посада та призначено корпоративного секретаря</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Корпоративний секретар у товариства вiдсутнiй</w:t>
            </w:r>
          </w:p>
        </w:tc>
      </w:tr>
      <w:tr w:rsidR="0077060C" w:rsidTr="00016A2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1) комітети наглядової ради</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Наглядовою радою створено комітети та затверджені внутрішні документи, які регулюють їх діяльність</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Комітет з питань аудиту складається з незалежних членів наглядової ради, які мають знання у сфері фінансів, галузевий досвід та досвід з питань бухгалтерського обліку, аудиту, контролю та управлінням ризиками</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комітету з питань аудиту не входять до складу інших комітетів наглядової ради</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Комітет з призначень складається з незалежних членів наглядової ради, які мають знання в галузі управління людськими ресурсами і навичками пошуку професіоналів до складу наглядової ради і виконавчого органу</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Комітет з питань винагороди складається з незалежних членів наглядової ради, які мають знання щодо практик визначення винагороди та заохочення до ефективного виконання обов'язків</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Більшість комітету з питань ризиків становлять незалежні члени</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вiдсутнi Комiтети Наглядової ради.</w:t>
            </w:r>
          </w:p>
        </w:tc>
      </w:tr>
      <w:tr w:rsidR="0077060C" w:rsidTr="00016A2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4. Виконавчий орган</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Виконавчий орган розробляє стратегію особи, яка затверджується рішенням Наглядової ради</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Вiдповiдно до Статуту Товариства до компетенцiїДиректора  належить затвердження поточних планiв дiяльностi Товариства i заходiв, необхiдних для їхнього виконання.</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 визначає ключові показники ефективності Виконавчому органу для відстеження прогресу у досягненні цілей особи</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Визначення ключових показникiв ефективностi не здiйснюється, оскiльки це не є необхiдним.</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Виконавчий орган регулярно звітує Наглядовій раді про прогрес у </w:t>
            </w:r>
            <w:r>
              <w:rPr>
                <w:rFonts w:ascii="Times New Roman CYR" w:hAnsi="Times New Roman CYR" w:cs="Times New Roman CYR"/>
                <w:sz w:val="24"/>
                <w:szCs w:val="24"/>
              </w:rPr>
              <w:lastRenderedPageBreak/>
              <w:t xml:space="preserve">впровадженні стратегії особи </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так</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До компетенцiї Виконавчого органу розробка стратегiї особи не входить. На </w:t>
            </w:r>
            <w:r>
              <w:rPr>
                <w:rFonts w:ascii="Times New Roman CYR" w:hAnsi="Times New Roman CYR" w:cs="Times New Roman CYR"/>
                <w:sz w:val="24"/>
                <w:szCs w:val="24"/>
              </w:rPr>
              <w:lastRenderedPageBreak/>
              <w:t>засiданнях наглядової ради виконавчий орган звiтує про результати фiнансово-господарської дiяльностi Товариства.</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Виконавчий орган інформує голову Наглядової ради про будь-які значні події, які сталися в період між засіданнями Наглядової ради</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Iнформування голови Наглядової ради про будь-якi значнi подiї, якi сталися в перiод мiж засiданнями Наглядової ради, не передбачено внутрiшнiми документами Товариства, але фактично здiйснюється ДиректоромТовариства.</w:t>
            </w:r>
          </w:p>
        </w:tc>
      </w:tr>
      <w:tr w:rsidR="0077060C" w:rsidTr="00016A2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6. Винагорода</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Винагорода членів ради і виконавчого органу визначена на підставі та відповідає ринковим показникам у галузі для такого виду особи</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Члени наглядової ради,  винагороду за виконання обов'язкiв члена наглядової ради, в тому числi  у натуральнiй формi не отримували. Виконавчий орган (директор)  отримує винагороду у виглядi заробiтної плати, у розмiрi вiдповiдно до штатного розпису,  iншi винагороди, в тому числi  у натуральнiй формi винагороду не отримує. </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Розмір винагороди для виконавчого органу пов'язаний з результатами діяльності особи</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Розмiр винагороди не залежить вiд фiнансового результату Товариства. Директор  не отримує окремої винагороди, крiм заробiтної плати.</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Винагорода членів ради (невиконавчих директорів) є фіксованою та не залежить від досягнення особою фінансових показників</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Розмiр винагороди не залежить вiд фiнансового результату Товариства.  Члени Ради на безоплатнiй основi. Винагорода вiдсутня.</w:t>
            </w:r>
          </w:p>
        </w:tc>
      </w:tr>
      <w:tr w:rsidR="0077060C" w:rsidTr="00016A2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7. Розкриття інформації і прозорість</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затверджена та оприлюднена політика щодо розкриття інформації, яка визначає інформацію, що її повинна розкривати особа</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Окрема полiтика щодо розкриття iнформацiї не затверджена. В цiлому iнформацiя розкривається Товариством в обсягах, передбачених законодавством.</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Рада (невиконавчі директори ради директорів) здійснює нагляд за виконавчим органом (виконавчими директорами ради директорів) у підготовці фінансових звітів і забезпечуєскладання фінансових звітів особи відповідно до чинного законодавства та міжнародних стандартів фінансової звітності</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має невиконавчих директорiв.Наглядова рада та Загальнi збори розглядають звiт Директора та приймають рiшення за результатами їх розгляду. Iнше не потребує втручання Наглядової ради та вiдбувається вiдповiдно до чинного законодавства.</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Адреса вебсайту особи містить окремий розділ, присвячений виключно питанням корпоративного управління</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Окремий роздiл не створено, який присвячено виключно питанням корпоративного управлiння.</w:t>
            </w:r>
          </w:p>
        </w:tc>
      </w:tr>
      <w:tr w:rsidR="0077060C" w:rsidTr="00016A2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8. Система контролю і стандарти етики</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В особі створена система внутрішнього контролю, яка </w:t>
            </w:r>
            <w:r>
              <w:rPr>
                <w:rFonts w:ascii="Times New Roman CYR" w:hAnsi="Times New Roman CYR" w:cs="Times New Roman CYR"/>
                <w:sz w:val="24"/>
                <w:szCs w:val="24"/>
              </w:rPr>
              <w:lastRenderedPageBreak/>
              <w:t>відповідає моделі концепції "трьох ліній захисту"</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Не створена.Наглядова рада забезпечує функцiонування належної системи </w:t>
            </w:r>
            <w:r>
              <w:rPr>
                <w:rFonts w:ascii="Times New Roman CYR" w:hAnsi="Times New Roman CYR" w:cs="Times New Roman CYR"/>
                <w:sz w:val="24"/>
                <w:szCs w:val="24"/>
              </w:rPr>
              <w:lastRenderedPageBreak/>
              <w:t>контролю, а також здiйснення стратегiчного контролю за фiнансово-господарською дiяльнiстю Товариства;</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Рада (невиконавчі директори ради директорів) має механізми внутрішнього контролю особи, маючи змогу залучити внутрішнього аудитора та зовнішнього аудитора</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Наглядова рада має змогу залучити зовнiшнього аудитора. Товариство не має невиконавих директорiв ради директорiв </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Функція комплаєнс та ризик-менеджменту підзвітна раді (невиконавчим директорам ради директорів)</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товариства не має невиконавих директорiв ради директорiв . Функцiя комплаєнс та ризик-менеджменту вiдсутня</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політику з питань управління ризиками</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Полiтику з питань управлiння ризиками у Товариствi не затверджено, оскiльки її обов'язкова наявнiсть не передбачена законодавством.</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декларацію схильності до ризиків</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УТовариствi не затверджено декларацiю схильностi до ризикiв. Вiдсутня дана практика.</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Рада (невиконавчі директори ради директорів) розглядає звіт щодо управління ризиками</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Вiдсутня дана практика. У товариства не має невиконавчих директорiв ради директорiв </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та оприлюднено кодекс етики</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 Товариствi немає кодексу етики. Зазначений кодекс не оприлюднювався.</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забезпечено можливість анонімно і безпечно повідомляти про неправомірну чи неетичну поведінку</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Вiдсутня дана практика.Окремого документу, який регулює полiтику конфлiкту iнтересiв в Товариствi немає, запобiгання конфлiкту iнтересiв здiйснюється на пiдставi Статуту та чинного законодавства.</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та оприлюднено політику щодо запобігання корупції</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Товариствi немає антикорупцiйної програми та полiтики щодо запобiгання корупцiї. Зазначена програма не оприлюднювалась.</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Окремого документу про полiтику щодо запобiгання корупцiї не затверджено, запобiгання корупцiї здiйснюється вiдповiдно до чинного законодавства.</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особі затверджено та оприлюднено політику щодо конфлікту інтересів, яка покриває такі питання:</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 конфлікту інтересів, запобігання і управління конфліктом інтересів;</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 правочинів із заінтересованістю;</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інсайдерської торгівлі; та</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 зловживання службовим становищем</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Окремого документу, який регулює полiтику конфлiкту iнтересiв в Товариствi немає, запобiгання конфлiкту iнтересiв здiйснюється на пiдставi Статуту та чинного законодавства.</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Вiдсутня дана практика.</w:t>
            </w:r>
          </w:p>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p>
        </w:tc>
      </w:tr>
      <w:tr w:rsidR="0077060C" w:rsidTr="00016A2D">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9. Оцінка корпоративного управління</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В особі формалізована процедура </w:t>
            </w:r>
            <w:r>
              <w:rPr>
                <w:rFonts w:ascii="Times New Roman CYR" w:hAnsi="Times New Roman CYR" w:cs="Times New Roman CYR"/>
                <w:sz w:val="24"/>
                <w:szCs w:val="24"/>
              </w:rPr>
              <w:lastRenderedPageBreak/>
              <w:t>щорічної самооцінки членів ради</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Емiтент не провадить практику </w:t>
            </w:r>
            <w:r>
              <w:rPr>
                <w:rFonts w:ascii="Times New Roman CYR" w:hAnsi="Times New Roman CYR" w:cs="Times New Roman CYR"/>
                <w:sz w:val="24"/>
                <w:szCs w:val="24"/>
              </w:rPr>
              <w:lastRenderedPageBreak/>
              <w:t>корпоративного управлiння щодо оцiнки корпоративного управлiння, яка застосовується понад встановленнi законодавством вимоги чи суперечить законодавству. В Товариствi вiдсутня процедура щорiчної самооцiнки членiв ради.</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За результатами щорічної самооцінки членів ради розробляється план дій для підвищення ефективності роботи членів ради та практик корпоративного управління</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Статутом та внутрiшнiми документами Товариства не передбачено розробка плану дiй для пiдвищення ефективностi роботи Наглядової ради, оскiльки це не є необхiдним.</w:t>
            </w:r>
          </w:p>
        </w:tc>
      </w:tr>
      <w:tr w:rsidR="0077060C" w:rsidTr="00016A2D">
        <w:tblPrEx>
          <w:tblCellMar>
            <w:top w:w="0" w:type="dxa"/>
            <w:bottom w:w="0" w:type="dxa"/>
          </w:tblCellMar>
        </w:tblPrEx>
        <w:trPr>
          <w:trHeight w:val="200"/>
        </w:trPr>
        <w:tc>
          <w:tcPr>
            <w:tcW w:w="4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Кожні три роки проводиться комплексна оцінка системи корпоративного управління із залученням незалежного зовнішнього експерта</w:t>
            </w:r>
          </w:p>
        </w:tc>
        <w:tc>
          <w:tcPr>
            <w:tcW w:w="15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4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Статутом та внутрiшнiми документами Товариства не передбачено проведення комплексної оцiнки системи корпоративного управлiння кожнi три роки, оскiльки це не є необхiдним.</w:t>
            </w: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4. Рада</w:t>
      </w: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Персональний склад ради та її комітетів</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1150"/>
        <w:gridCol w:w="1150"/>
        <w:gridCol w:w="1150"/>
        <w:gridCol w:w="1150"/>
        <w:gridCol w:w="1150"/>
        <w:gridCol w:w="1250"/>
      </w:tblGrid>
      <w:tr w:rsidR="0077060C" w:rsidTr="00016A2D">
        <w:tblPrEx>
          <w:tblCellMar>
            <w:top w:w="0" w:type="dxa"/>
            <w:bottom w:w="0" w:type="dxa"/>
          </w:tblCellMar>
        </w:tblPrEx>
        <w:trPr>
          <w:trHeight w:val="200"/>
        </w:trPr>
        <w:tc>
          <w:tcPr>
            <w:tcW w:w="3000" w:type="dxa"/>
            <w:vMerge w:val="restart"/>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Ім'я члена ради, строк повноважень у звітному періоді</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РНОКПП</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УНЗР</w:t>
            </w:r>
          </w:p>
        </w:tc>
        <w:tc>
          <w:tcPr>
            <w:tcW w:w="1150" w:type="dxa"/>
            <w:vMerge w:val="restart"/>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Голова/ заступник голови ради</w:t>
            </w:r>
          </w:p>
        </w:tc>
        <w:tc>
          <w:tcPr>
            <w:tcW w:w="3550" w:type="dxa"/>
            <w:gridSpan w:val="3"/>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ab/>
              <w:t>Голова / член комітету ради</w:t>
            </w:r>
          </w:p>
        </w:tc>
      </w:tr>
      <w:tr w:rsidR="0077060C" w:rsidTr="00016A2D">
        <w:tblPrEx>
          <w:tblCellMar>
            <w:top w:w="0" w:type="dxa"/>
            <w:bottom w:w="0" w:type="dxa"/>
          </w:tblCellMar>
        </w:tblPrEx>
        <w:trPr>
          <w:trHeight w:val="200"/>
        </w:trPr>
        <w:tc>
          <w:tcPr>
            <w:tcW w:w="3000" w:type="dxa"/>
            <w:vMerge/>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1150" w:type="dxa"/>
            <w:vMerge/>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1150" w:type="dxa"/>
            <w:vMerge/>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1150" w:type="dxa"/>
            <w:vMerge/>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комітету - 1</w:t>
            </w:r>
          </w:p>
        </w:tc>
        <w:tc>
          <w:tcPr>
            <w:tcW w:w="11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комітету - 2</w:t>
            </w:r>
          </w:p>
        </w:tc>
        <w:tc>
          <w:tcPr>
            <w:tcW w:w="125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комітету - 3</w:t>
            </w:r>
          </w:p>
        </w:tc>
      </w:tr>
      <w:tr w:rsidR="0077060C" w:rsidTr="00016A2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Шкрiбляк Андрiй Миколайович</w:t>
            </w:r>
          </w:p>
        </w:tc>
        <w:tc>
          <w:tcPr>
            <w:tcW w:w="11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1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r>
      <w:tr w:rsidR="0077060C" w:rsidTr="00016A2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Товт Наталiя Андрiйвна</w:t>
            </w:r>
          </w:p>
        </w:tc>
        <w:tc>
          <w:tcPr>
            <w:tcW w:w="11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11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Звіт ради</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Наглядова Рада не складала звiту про свою дiяльнiсть, зокрема, про оцiнку своєї дiяльностi, який мiстив всю вищезазначену iнформацiю, оскiльки Товариство є приватним акцiонерним товариством та вiдповiдно до ст.70 Закону України "Про акцiонернi товариства" не належить до виду товариств, для яких є обов'язковим складання такого звiту, який мiстив би всю вищезазначену iнформацiю. Звiт Наглядової ради про свою дiяльнiсть мав iншу структуру, до нього було включено окрему iнформацiю щодо поточної дiяльностi Товариства.</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Наглядова Рада Товариства  здiйснює управлiння Товариством, а також контролює та регулює дiяльнiсть виконавчого органу - Директора. В звiтному перiодi дiяльнiсть Наглядової ради спрямовувалась на забезпечення роботи Товариства пiд час воєнного стану, в умовах невизначеностi, нестабiльної роботи енергосистеми, низької платоспроможностi населення, у зв'язку з вiйськовою агресiєю росiйської федерацiї. У звiтному перiодi Наглядова рада не здiйснювала будь-яких заходiв, що мали суттєвий вплив на фiнансове становище Товариства. Вiйськовi  дiї суттєво впливало на економiчну ситуацiю в країнi, а наслiдки неможливо оцiнити з достатнiм рiвнем передбачуваностi, як для країни, так i для Товариства.</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Члени Наглядової ради цiлком компетентнi в питаннях, покладених на Наглядову раду в межах Статуту Товариства та Положення Про Наглядову Раду. Члени Наглядової ради незалежнi в прийняттi будь-яких рiшень. Наглядова рада не має комiтетiв. Наглядова рада повнiстю виконує свої обов'язки в межах Статуту Товариства та Положення Про Наглядову Раду. Наглядова рада має просту структуру без утворення комiтетiв. Рiшення приймаються на засiданнях Наглядової ради, якi скликаються по мiрi необхiдностi  i приймаються бiльшiстю голосiв членiв Наглядової ради.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lastRenderedPageBreak/>
        <w:t>Інформація про одноосібний виконавчий орган та загальний опис прийнятих рішень</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500"/>
        <w:gridCol w:w="6500"/>
      </w:tblGrid>
      <w:tr w:rsidR="0077060C"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Ім'я керівника, термін повноважень у звітному періоді</w:t>
            </w:r>
          </w:p>
        </w:tc>
        <w:tc>
          <w:tcPr>
            <w:tcW w:w="6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Козун Володимир Iванович   з 27.04.2018р. термiн повноважень 5 рокiв.</w:t>
            </w:r>
          </w:p>
        </w:tc>
      </w:tr>
      <w:tr w:rsidR="0077060C"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РНОКПП</w:t>
            </w:r>
          </w:p>
        </w:tc>
        <w:tc>
          <w:tcPr>
            <w:tcW w:w="6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p>
        </w:tc>
      </w:tr>
      <w:tr w:rsidR="0077060C"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УНЗР</w:t>
            </w:r>
          </w:p>
        </w:tc>
        <w:tc>
          <w:tcPr>
            <w:tcW w:w="6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p>
        </w:tc>
      </w:tr>
      <w:tr w:rsidR="0077060C"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Опис ключових рішень керівника</w:t>
            </w:r>
          </w:p>
        </w:tc>
        <w:tc>
          <w:tcPr>
            <w:tcW w:w="6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Всi рiшення стосувалися поточної господарської дiяльностi Товариства. Ключовi рiшення стосовно управлiння Товариством не приймалися.</w:t>
            </w:r>
          </w:p>
        </w:tc>
      </w:tr>
      <w:tr w:rsidR="0077060C"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Ім'я заступника(ів) керівника, термін повноважень у звітному періоді</w:t>
            </w:r>
          </w:p>
        </w:tc>
        <w:tc>
          <w:tcPr>
            <w:tcW w:w="6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p>
        </w:tc>
      </w:tr>
      <w:tr w:rsidR="0077060C"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РНОКПП</w:t>
            </w:r>
          </w:p>
        </w:tc>
        <w:tc>
          <w:tcPr>
            <w:tcW w:w="6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p>
        </w:tc>
      </w:tr>
      <w:tr w:rsidR="0077060C"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УНЗР</w:t>
            </w:r>
          </w:p>
        </w:tc>
        <w:tc>
          <w:tcPr>
            <w:tcW w:w="6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p>
        </w:tc>
      </w:tr>
      <w:tr w:rsidR="0077060C"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Сфера відповідальності заступника керівника</w:t>
            </w:r>
          </w:p>
        </w:tc>
        <w:tc>
          <w:tcPr>
            <w:tcW w:w="6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both"/>
              <w:rPr>
                <w:rFonts w:ascii="Times New Roman CYR" w:hAnsi="Times New Roman CYR" w:cs="Times New Roman CYR"/>
              </w:rPr>
            </w:pPr>
          </w:p>
        </w:tc>
      </w:tr>
      <w:tr w:rsidR="0077060C"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Ім'я та посада особи, яка виконувала обов'язки керівника у звітному періоді, період протягом якого особа здійснювала виконання обов'язків керівника</w:t>
            </w:r>
          </w:p>
        </w:tc>
        <w:tc>
          <w:tcPr>
            <w:tcW w:w="6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p>
        </w:tc>
      </w:tr>
      <w:tr w:rsidR="0077060C"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РНОКПП</w:t>
            </w:r>
          </w:p>
        </w:tc>
        <w:tc>
          <w:tcPr>
            <w:tcW w:w="6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p>
        </w:tc>
      </w:tr>
      <w:tr w:rsidR="0077060C"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УНЗР</w:t>
            </w:r>
          </w:p>
        </w:tc>
        <w:tc>
          <w:tcPr>
            <w:tcW w:w="6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Звіт виконавчого органу</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Зазначається така iнформацiя:</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 оцiнка складу, структури та дiяльностi виконавчого органу; Виконавчий орган одноосiбний  - директор, без  комiтетiв.</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 оцiнка компетентностi та ефективностi керiвника та заступникiв керiвника/голови та членiв колегiального виконавчого органу, включаючи iнформацiю про його дiяльнiсть як посадової особи iнших юридичних осiб або iншу дiяльнiсть - оплачувану i безоплатну;</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Директор товариства компетентний в питаннях керiвництва Товариством, в вирiшеннi питань поточної дiяльностi товариства в межах Статуту Товариства та Положення Про директора Товариства.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3) оцiнка виконання виконавчим органом поставлених цiлей особи. В межах цього пункту зазначається iнформацiя щодо впливу рiшень, прийнятих виконавчих органом протягом звiтного перiоду, на досягнення поставлених перед особою стратегiчних цiлей. При цьому iнформацiя щодо стратегiчних цiлей особи має мiстити загальний опис таких стратегiчних цiлей i не потребує розкриття iнформацiї (показникiв), що, згiдно внутрiшнiх документiв особи належить до iнформацiї з обмеженим доступом (конфiденцiйної iнформацiї та комерцiйної таємницi);</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Директор цiлком виконує поставленi зборами акцiонерiв цiлi Товариства. Директор володiє глибокими знаннями у сферi стратегiчного управлiння, Його досвiд включає багаторiчну роботу на керiвнiй посадi.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4) iнформацiя про те, яким чином дiяльнiсть виконавчого органу зумовила змiни у фiнансово-господарськiй дiяльностi особи</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Змiн у фiнансово-господарськiй дiяльностi  у звiтному роцi не було.</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У звiтньому роцi дiяльнiсть товариства здiйснювалася в умовах тривалого воєнного стану та збереження суттєвих обмежень у господарськiй дiяльностi.  Рiшення, прийнятi протягом року, мали переважно оперативний i стабiлiзацiйний характер. </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 iснуючих умовах господарювання в умовах воєнного стану, у зв'язку з вiйськовою агресiєю росiйської федерацiї проти України, неможливо впевнено робити навiть короткостроковi прогнози чи детальнi плани щодо дiяльностi пiдприємства.</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Окрема оцiнка дiяльностi виконавчого органу вiдсутня.</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Частина 7. Опис основних характеристик систем внутрішнього контролю особи, а також перелік структурних підрозділів особи, які здійснюють ключові обов'язки щодо забезпечення роботи систем внутрішнього контролю</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500"/>
        <w:gridCol w:w="6500"/>
      </w:tblGrid>
      <w:tr w:rsidR="0077060C"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6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r>
      <w:tr w:rsidR="0077060C"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Система внутрішнього контролю передбачає модель трьох ліній захисту</w:t>
            </w:r>
          </w:p>
        </w:tc>
        <w:tc>
          <w:tcPr>
            <w:tcW w:w="6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ні</w:t>
            </w:r>
          </w:p>
        </w:tc>
      </w:tr>
      <w:tr w:rsidR="0077060C"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Опис функцій підрозділів першої лінії захисту та перелік ключових підрозділів</w:t>
            </w:r>
          </w:p>
        </w:tc>
        <w:tc>
          <w:tcPr>
            <w:tcW w:w="6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Товариством не створювались пiдроздiли першої лiнiї захисту.</w:t>
            </w:r>
          </w:p>
        </w:tc>
      </w:tr>
      <w:tr w:rsidR="0077060C"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підрозділів та опис функцій підрозділів другої лінії захисту</w:t>
            </w:r>
          </w:p>
        </w:tc>
        <w:tc>
          <w:tcPr>
            <w:tcW w:w="6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Товариством не створювались пiдроздiли другої лiнiї захисту.</w:t>
            </w:r>
          </w:p>
        </w:tc>
      </w:tr>
      <w:tr w:rsidR="0077060C"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Перелік підрозділів та опис функцій підрозділів третьої лінії захисту</w:t>
            </w:r>
          </w:p>
        </w:tc>
        <w:tc>
          <w:tcPr>
            <w:tcW w:w="6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Товариством не створювались пiдроздiли третьої лiнiї захисту</w:t>
            </w:r>
          </w:p>
        </w:tc>
      </w:tr>
      <w:tr w:rsidR="0077060C"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Наявність затвердженого документу (документів), який(які) визначає(ють) політику системи внутрішнього контролю (у тому числі щодо системи комплаєнс та внутрішнього аудиту)</w:t>
            </w:r>
          </w:p>
        </w:tc>
        <w:tc>
          <w:tcPr>
            <w:tcW w:w="6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ні</w:t>
            </w:r>
          </w:p>
        </w:tc>
      </w:tr>
      <w:tr w:rsidR="0077060C"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основних внутрішніх документів щодо системи внутрішнього контролю (у тому числі щодо системи комплаєнс та внутрішнього аудиту)</w:t>
            </w:r>
          </w:p>
        </w:tc>
        <w:tc>
          <w:tcPr>
            <w:tcW w:w="6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Система внутрiшнього контролю i управлiння ризиками визначає всi внутрiшнi правила та процедури контролю, запровадженi керiвництвом Товариства для досягнення поставленої мети - забезпечення (в межах можливого) стабiльного i ефективного функцiонування Товариства, дотримання внутрiшньогосподарської полiтики, збереження та рацiонального використання активiв Товариства, запобiгання та викриття фальсифiкацiй та помилок, точностi i повноти бухгалтерських записiв, своєчасної пiдготовки надiйної фiнансової iнформацiї. Особами, вiдповiдальними за ведення бухгалтерського облiку Товариства є Директор та головний бухгалтер Товариства. Окремого Положення про "Системи внутрiшнього контролю" в Товариствi немає, оскiльки його обов'язкова наявнiсть не передбачена чинним законодавством.</w:t>
            </w:r>
          </w:p>
        </w:tc>
      </w:tr>
      <w:tr w:rsidR="0077060C"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та номер рішення про затвердження звіту щодо системи внутрішнього контролю (у тому числі комплаєнс-ризиків)</w:t>
            </w:r>
          </w:p>
        </w:tc>
        <w:tc>
          <w:tcPr>
            <w:tcW w:w="6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х</w:t>
            </w:r>
          </w:p>
        </w:tc>
      </w:tr>
      <w:tr w:rsidR="0077060C"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положення звіту системи внутрішнього контролю (у тому числі комплаєнс-ризиків)</w:t>
            </w:r>
          </w:p>
        </w:tc>
        <w:tc>
          <w:tcPr>
            <w:tcW w:w="6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У Товариствi не створена системи внутрiшнього контролю. Звiт системи внутрiшнього контролю не складався i не затверджувався.</w:t>
            </w:r>
          </w:p>
        </w:tc>
      </w:tr>
      <w:tr w:rsidR="0077060C"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Наявність затвердженої декларації схильності до ризиків</w:t>
            </w:r>
          </w:p>
        </w:tc>
        <w:tc>
          <w:tcPr>
            <w:tcW w:w="6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ні</w:t>
            </w:r>
          </w:p>
        </w:tc>
      </w:tr>
      <w:tr w:rsidR="0077060C"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Опис основних положень декларації схильності до ризиків</w:t>
            </w:r>
          </w:p>
        </w:tc>
        <w:tc>
          <w:tcPr>
            <w:tcW w:w="6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Декларацiя схильностi до ризикiв вiдсутня.</w:t>
            </w:r>
          </w:p>
        </w:tc>
      </w:tr>
      <w:tr w:rsidR="0077060C"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Назва органу, який прийняв </w:t>
            </w:r>
            <w:r>
              <w:rPr>
                <w:rFonts w:ascii="Times New Roman CYR" w:hAnsi="Times New Roman CYR" w:cs="Times New Roman CYR"/>
                <w:sz w:val="24"/>
                <w:szCs w:val="24"/>
              </w:rPr>
              <w:lastRenderedPageBreak/>
              <w:t>рішення про затвердження декларації схильності до ризиків</w:t>
            </w:r>
          </w:p>
        </w:tc>
        <w:tc>
          <w:tcPr>
            <w:tcW w:w="6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Декларацiя схильностi до ризикiв вiдсутня.</w:t>
            </w:r>
          </w:p>
        </w:tc>
      </w:tr>
      <w:tr w:rsidR="0077060C" w:rsidTr="00016A2D">
        <w:tblPrEx>
          <w:tblCellMar>
            <w:top w:w="0" w:type="dxa"/>
            <w:bottom w:w="0" w:type="dxa"/>
          </w:tblCellMar>
        </w:tblPrEx>
        <w:trPr>
          <w:trHeight w:val="200"/>
        </w:trPr>
        <w:tc>
          <w:tcPr>
            <w:tcW w:w="35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Дата та номер рішення про затвердження декларації схильності до ризиків</w:t>
            </w:r>
          </w:p>
        </w:tc>
        <w:tc>
          <w:tcPr>
            <w:tcW w:w="65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Х</w:t>
            </w: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Частина 8. Інформація щодо осіб, які прямо або опосередковано є власниками значного пакета акцій особи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0"/>
        <w:gridCol w:w="1750"/>
        <w:gridCol w:w="1750"/>
        <w:gridCol w:w="1750"/>
        <w:gridCol w:w="1750"/>
      </w:tblGrid>
      <w:tr w:rsidR="0077060C" w:rsidTr="00016A2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Ім'я або повне найменування акціонера</w:t>
            </w:r>
          </w:p>
        </w:tc>
        <w:tc>
          <w:tcPr>
            <w:tcW w:w="17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РНОКПП</w:t>
            </w:r>
          </w:p>
        </w:tc>
        <w:tc>
          <w:tcPr>
            <w:tcW w:w="17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УНЗР</w:t>
            </w:r>
          </w:p>
        </w:tc>
        <w:tc>
          <w:tcPr>
            <w:tcW w:w="17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Розмір значного пакета акцій</w:t>
            </w:r>
          </w:p>
        </w:tc>
        <w:tc>
          <w:tcPr>
            <w:tcW w:w="175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Розмір пакета акцій, що знаходиться в прямому та (опосередкованому) володінні</w:t>
            </w:r>
          </w:p>
        </w:tc>
      </w:tr>
      <w:tr w:rsidR="0077060C" w:rsidTr="00016A2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Шкрiбляк Андрiй Миколайович</w:t>
            </w:r>
          </w:p>
        </w:tc>
        <w:tc>
          <w:tcPr>
            <w:tcW w:w="17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16167177</w:t>
            </w:r>
          </w:p>
        </w:tc>
        <w:tc>
          <w:tcPr>
            <w:tcW w:w="175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16167177</w:t>
            </w:r>
          </w:p>
        </w:tc>
      </w:tr>
      <w:tr w:rsidR="0077060C" w:rsidTr="00016A2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Лакуста Ярослав Васильович</w:t>
            </w:r>
          </w:p>
        </w:tc>
        <w:tc>
          <w:tcPr>
            <w:tcW w:w="17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19163221</w:t>
            </w:r>
          </w:p>
        </w:tc>
        <w:tc>
          <w:tcPr>
            <w:tcW w:w="175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19163221</w:t>
            </w:r>
          </w:p>
        </w:tc>
      </w:tr>
      <w:tr w:rsidR="0077060C" w:rsidTr="00016A2D">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Ваган Крiстна Юлiївна</w:t>
            </w:r>
          </w:p>
        </w:tc>
        <w:tc>
          <w:tcPr>
            <w:tcW w:w="17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175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14203537</w:t>
            </w:r>
          </w:p>
        </w:tc>
        <w:tc>
          <w:tcPr>
            <w:tcW w:w="1750"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14203537</w:t>
            </w: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2) звіт про сталий розвиток</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0"/>
        <w:gridCol w:w="4700"/>
        <w:gridCol w:w="5000"/>
      </w:tblGrid>
      <w:tr w:rsidR="0077060C"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9700" w:type="dxa"/>
            <w:gridSpan w:val="2"/>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Оцінка діяльності щодо захисту довкілля та соціальної відповідальності за звітний період:</w:t>
            </w:r>
          </w:p>
        </w:tc>
      </w:tr>
      <w:tr w:rsidR="0077060C"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700" w:type="dxa"/>
            <w:gridSpan w:val="2"/>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Вiдсутня</w:t>
            </w:r>
          </w:p>
        </w:tc>
      </w:tr>
      <w:tr w:rsidR="0077060C"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9700" w:type="dxa"/>
            <w:gridSpan w:val="2"/>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Основні ризики і виклики щодо захисту довкілля та соціальної відповідальності, плани щодо їх вирішення, а також їх вплив на досягнення стратегічних цілей:</w:t>
            </w:r>
          </w:p>
        </w:tc>
      </w:tr>
      <w:tr w:rsidR="0077060C"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Перелік ризиків щодо захисту довкілля та соціальної відповідальності, які мають вплив на особу:</w:t>
            </w:r>
          </w:p>
        </w:tc>
        <w:tc>
          <w:tcPr>
            <w:tcW w:w="5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Товариство не визначало ризкiв щодо захисту довкiлля та соцiальної вiдповiдальностi, якi мають вплив на Товариство.</w:t>
            </w:r>
          </w:p>
        </w:tc>
      </w:tr>
      <w:tr w:rsidR="0077060C"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Заходи, які планується здійснити / здійснюються для мінімізації/усунення кожного із ризиків:</w:t>
            </w:r>
          </w:p>
        </w:tc>
        <w:tc>
          <w:tcPr>
            <w:tcW w:w="5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Вiдсутнi</w:t>
            </w:r>
          </w:p>
        </w:tc>
      </w:tr>
      <w:tr w:rsidR="0077060C"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9700" w:type="dxa"/>
            <w:gridSpan w:val="2"/>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Основні положення політики з питань захисту довкілля та соціальної відповідальності:</w:t>
            </w:r>
          </w:p>
        </w:tc>
      </w:tr>
      <w:tr w:rsidR="0077060C"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політик з питань захисту довкілля та соціальної відповідальності та опис питань, які такі політики покликані вирішити:</w:t>
            </w:r>
          </w:p>
        </w:tc>
        <w:tc>
          <w:tcPr>
            <w:tcW w:w="5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Полiтика з питань захисту довкiлля та соцiальної вiдповiдальностi вiдсутня.</w:t>
            </w:r>
          </w:p>
        </w:tc>
      </w:tr>
      <w:tr w:rsidR="0077060C"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9700" w:type="dxa"/>
            <w:gridSpan w:val="2"/>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питань та прийнятих рішень щодо захисту довкілля та соціальної відповідальності, які розглядались радою та виконавчим органом:</w:t>
            </w:r>
          </w:p>
        </w:tc>
      </w:tr>
      <w:tr w:rsidR="0077060C"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Перелік питань, які розглядались виконавчим органом та короткий зміст рішень, які було прийнято:</w:t>
            </w:r>
          </w:p>
        </w:tc>
        <w:tc>
          <w:tcPr>
            <w:tcW w:w="5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Питання щодо захисту довкiлля та соцiальної вiдповiдальностi не розглядалися</w:t>
            </w:r>
          </w:p>
        </w:tc>
      </w:tr>
      <w:tr w:rsidR="0077060C"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7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Перелік питань, які розглядались радою та короткий зміст рішень, які було прийнято:</w:t>
            </w:r>
          </w:p>
        </w:tc>
        <w:tc>
          <w:tcPr>
            <w:tcW w:w="5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Вiдсутнi</w:t>
            </w:r>
          </w:p>
        </w:tc>
      </w:tr>
      <w:tr w:rsidR="0077060C"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9700" w:type="dxa"/>
            <w:gridSpan w:val="2"/>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ключових стейкхолдерів, на яких має вплив діяльність особи із зазначенням обґрунтування в чому саме полягає такий вплив:</w:t>
            </w:r>
          </w:p>
        </w:tc>
      </w:tr>
      <w:tr w:rsidR="0077060C"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700" w:type="dxa"/>
            <w:gridSpan w:val="2"/>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Вiдсутнi</w:t>
            </w:r>
          </w:p>
        </w:tc>
      </w:tr>
      <w:tr w:rsidR="0077060C"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6</w:t>
            </w:r>
          </w:p>
        </w:tc>
        <w:tc>
          <w:tcPr>
            <w:tcW w:w="9700" w:type="dxa"/>
            <w:gridSpan w:val="2"/>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Перелік стейкхолдерів, які мають вплив на досягнення особою стратегічних цілей із зазначенням обґрунтування в чому саме полягає такий вплив:</w:t>
            </w:r>
          </w:p>
        </w:tc>
      </w:tr>
      <w:tr w:rsidR="0077060C"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700" w:type="dxa"/>
            <w:gridSpan w:val="2"/>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Акцiонер Товариства, який володiє контрольним пакетом акцiй для прийняття рiшення на загальних зборах акцiонерiв.</w:t>
            </w:r>
          </w:p>
        </w:tc>
      </w:tr>
      <w:tr w:rsidR="0077060C"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7</w:t>
            </w:r>
          </w:p>
        </w:tc>
        <w:tc>
          <w:tcPr>
            <w:tcW w:w="9700" w:type="dxa"/>
            <w:gridSpan w:val="2"/>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Основні положення політики щодо взаємодії зі стейкхолдерами, у тому числі </w:t>
            </w:r>
            <w:r>
              <w:rPr>
                <w:rFonts w:ascii="Times New Roman CYR" w:hAnsi="Times New Roman CYR" w:cs="Times New Roman CYR"/>
                <w:sz w:val="24"/>
                <w:szCs w:val="24"/>
              </w:rPr>
              <w:lastRenderedPageBreak/>
              <w:t>акціонерами/учасниками:</w:t>
            </w:r>
          </w:p>
        </w:tc>
      </w:tr>
      <w:tr w:rsidR="0077060C" w:rsidTr="00016A2D">
        <w:tblPrEx>
          <w:tblCellMar>
            <w:top w:w="0" w:type="dxa"/>
            <w:bottom w:w="0" w:type="dxa"/>
          </w:tblCellMar>
        </w:tblPrEx>
        <w:trPr>
          <w:trHeight w:val="200"/>
        </w:trPr>
        <w:tc>
          <w:tcPr>
            <w:tcW w:w="300" w:type="dxa"/>
            <w:tcBorders>
              <w:top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700" w:type="dxa"/>
            <w:gridSpan w:val="2"/>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Полiтика щодо взаємодiї зi стейкхолдерами вiдсутня.</w:t>
            </w: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sectPr w:rsidR="0077060C">
          <w:pgSz w:w="12240" w:h="15840"/>
          <w:pgMar w:top="570" w:right="720" w:bottom="570" w:left="720" w:header="708" w:footer="708" w:gutter="0"/>
          <w:cols w:space="720"/>
          <w:noEndnote/>
        </w:sectPr>
      </w:pPr>
    </w:p>
    <w:tbl>
      <w:tblPr>
        <w:tblW w:w="0" w:type="auto"/>
        <w:tblInd w:w="108" w:type="dxa"/>
        <w:tblLayout w:type="fixed"/>
        <w:tblLook w:val="0000"/>
      </w:tblPr>
      <w:tblGrid>
        <w:gridCol w:w="2160"/>
        <w:gridCol w:w="4466"/>
        <w:gridCol w:w="1654"/>
        <w:gridCol w:w="1720"/>
      </w:tblGrid>
      <w:tr w:rsidR="0077060C" w:rsidTr="00016A2D">
        <w:tblPrEx>
          <w:tblCellMar>
            <w:top w:w="0" w:type="dxa"/>
            <w:bottom w:w="0" w:type="dxa"/>
          </w:tblCellMar>
        </w:tblPrEx>
        <w:trPr>
          <w:gridBefore w:val="3"/>
          <w:wBefore w:w="8280" w:type="dxa"/>
          <w:trHeight w:val="300"/>
        </w:trPr>
        <w:tc>
          <w:tcPr>
            <w:tcW w:w="172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77060C" w:rsidTr="00016A2D">
        <w:tblPrEx>
          <w:tblCellMar>
            <w:top w:w="0" w:type="dxa"/>
            <w:bottom w:w="0" w:type="dxa"/>
          </w:tblCellMar>
        </w:tblPrEx>
        <w:trPr>
          <w:gridBefore w:val="2"/>
          <w:wBefore w:w="6626" w:type="dxa"/>
          <w:trHeight w:val="300"/>
        </w:trPr>
        <w:tc>
          <w:tcPr>
            <w:tcW w:w="1654" w:type="dxa"/>
            <w:tcBorders>
              <w:top w:val="nil"/>
              <w:left w:val="nil"/>
              <w:bottom w:val="nil"/>
              <w:right w:val="single" w:sz="6" w:space="0" w:color="auto"/>
            </w:tcBorders>
            <w:vAlign w:val="center"/>
          </w:tcPr>
          <w:p w:rsidR="0077060C" w:rsidRDefault="0077060C" w:rsidP="00016A2D">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Дата</w:t>
            </w:r>
          </w:p>
        </w:tc>
        <w:tc>
          <w:tcPr>
            <w:tcW w:w="172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01.01.2024</w:t>
            </w:r>
          </w:p>
        </w:tc>
      </w:tr>
      <w:tr w:rsidR="0077060C" w:rsidTr="00016A2D">
        <w:tblPrEx>
          <w:tblCellMar>
            <w:top w:w="0" w:type="dxa"/>
            <w:bottom w:w="0" w:type="dxa"/>
          </w:tblCellMar>
        </w:tblPrEx>
        <w:trPr>
          <w:trHeight w:val="298"/>
        </w:trPr>
        <w:tc>
          <w:tcPr>
            <w:tcW w:w="2160" w:type="dxa"/>
            <w:tcBorders>
              <w:top w:val="nil"/>
              <w:left w:val="nil"/>
              <w:bottom w:val="nil"/>
              <w:right w:val="nil"/>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66" w:type="dxa"/>
            <w:tcBorders>
              <w:top w:val="nil"/>
              <w:left w:val="nil"/>
              <w:bottom w:val="nil"/>
              <w:right w:val="nil"/>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Акцiонерне товариство "Ужгородське автотранспортне пiдприємтсво 12107"</w:t>
            </w:r>
          </w:p>
        </w:tc>
        <w:tc>
          <w:tcPr>
            <w:tcW w:w="1654" w:type="dxa"/>
            <w:tcBorders>
              <w:top w:val="nil"/>
              <w:left w:val="nil"/>
              <w:bottom w:val="nil"/>
              <w:right w:val="single" w:sz="6" w:space="0" w:color="auto"/>
            </w:tcBorders>
            <w:vAlign w:val="center"/>
          </w:tcPr>
          <w:p w:rsidR="0077060C" w:rsidRDefault="0077060C" w:rsidP="00016A2D">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ЄДРПОУ</w:t>
            </w:r>
          </w:p>
        </w:tc>
        <w:tc>
          <w:tcPr>
            <w:tcW w:w="172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03114017</w:t>
            </w:r>
          </w:p>
        </w:tc>
      </w:tr>
      <w:tr w:rsidR="0077060C" w:rsidTr="00016A2D">
        <w:tblPrEx>
          <w:tblCellMar>
            <w:top w:w="0" w:type="dxa"/>
            <w:bottom w:w="0" w:type="dxa"/>
          </w:tblCellMar>
        </w:tblPrEx>
        <w:trPr>
          <w:trHeight w:val="298"/>
        </w:trPr>
        <w:tc>
          <w:tcPr>
            <w:tcW w:w="2160" w:type="dxa"/>
            <w:tcBorders>
              <w:top w:val="nil"/>
              <w:left w:val="nil"/>
              <w:bottom w:val="nil"/>
              <w:right w:val="nil"/>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Територія</w:t>
            </w:r>
          </w:p>
        </w:tc>
        <w:tc>
          <w:tcPr>
            <w:tcW w:w="4466" w:type="dxa"/>
            <w:tcBorders>
              <w:top w:val="nil"/>
              <w:left w:val="nil"/>
              <w:bottom w:val="nil"/>
              <w:right w:val="nil"/>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Закарпатська обл.</w:t>
            </w:r>
          </w:p>
        </w:tc>
        <w:tc>
          <w:tcPr>
            <w:tcW w:w="1654" w:type="dxa"/>
            <w:tcBorders>
              <w:top w:val="nil"/>
              <w:left w:val="nil"/>
              <w:bottom w:val="nil"/>
              <w:right w:val="single" w:sz="6" w:space="0" w:color="auto"/>
            </w:tcBorders>
            <w:vAlign w:val="center"/>
          </w:tcPr>
          <w:p w:rsidR="0077060C" w:rsidRDefault="0077060C" w:rsidP="00016A2D">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КАТОТТГ</w:t>
            </w:r>
          </w:p>
        </w:tc>
        <w:tc>
          <w:tcPr>
            <w:tcW w:w="172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2110100000</w:t>
            </w:r>
          </w:p>
        </w:tc>
      </w:tr>
      <w:tr w:rsidR="0077060C" w:rsidTr="00016A2D">
        <w:tblPrEx>
          <w:tblCellMar>
            <w:top w:w="0" w:type="dxa"/>
            <w:bottom w:w="0" w:type="dxa"/>
          </w:tblCellMar>
        </w:tblPrEx>
        <w:trPr>
          <w:trHeight w:val="298"/>
        </w:trPr>
        <w:tc>
          <w:tcPr>
            <w:tcW w:w="2160" w:type="dxa"/>
            <w:tcBorders>
              <w:top w:val="nil"/>
              <w:left w:val="nil"/>
              <w:bottom w:val="nil"/>
              <w:right w:val="nil"/>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Організаційно-правова форма господарювання</w:t>
            </w:r>
          </w:p>
        </w:tc>
        <w:tc>
          <w:tcPr>
            <w:tcW w:w="4466" w:type="dxa"/>
            <w:tcBorders>
              <w:top w:val="nil"/>
              <w:left w:val="nil"/>
              <w:bottom w:val="nil"/>
              <w:right w:val="nil"/>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Акціонерне товариство</w:t>
            </w:r>
          </w:p>
        </w:tc>
        <w:tc>
          <w:tcPr>
            <w:tcW w:w="1654" w:type="dxa"/>
            <w:tcBorders>
              <w:top w:val="nil"/>
              <w:left w:val="nil"/>
              <w:bottom w:val="nil"/>
              <w:right w:val="single" w:sz="6" w:space="0" w:color="auto"/>
            </w:tcBorders>
            <w:vAlign w:val="center"/>
          </w:tcPr>
          <w:p w:rsidR="0077060C" w:rsidRDefault="0077060C" w:rsidP="00016A2D">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КОПФГ</w:t>
            </w:r>
          </w:p>
        </w:tc>
        <w:tc>
          <w:tcPr>
            <w:tcW w:w="172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w:t>
            </w:r>
          </w:p>
        </w:tc>
      </w:tr>
      <w:tr w:rsidR="0077060C" w:rsidTr="00016A2D">
        <w:tblPrEx>
          <w:tblCellMar>
            <w:top w:w="0" w:type="dxa"/>
            <w:bottom w:w="0" w:type="dxa"/>
          </w:tblCellMar>
        </w:tblPrEx>
        <w:trPr>
          <w:trHeight w:val="298"/>
        </w:trPr>
        <w:tc>
          <w:tcPr>
            <w:tcW w:w="2160" w:type="dxa"/>
            <w:tcBorders>
              <w:top w:val="nil"/>
              <w:left w:val="nil"/>
              <w:bottom w:val="nil"/>
              <w:right w:val="nil"/>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Вид економічної діяльності</w:t>
            </w:r>
          </w:p>
        </w:tc>
        <w:tc>
          <w:tcPr>
            <w:tcW w:w="4466" w:type="dxa"/>
            <w:tcBorders>
              <w:top w:val="nil"/>
              <w:left w:val="nil"/>
              <w:bottom w:val="nil"/>
              <w:right w:val="nil"/>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Пасажирський наземний транспорт міського та приміського сполучення</w:t>
            </w:r>
          </w:p>
        </w:tc>
        <w:tc>
          <w:tcPr>
            <w:tcW w:w="1654" w:type="dxa"/>
            <w:tcBorders>
              <w:top w:val="nil"/>
              <w:left w:val="nil"/>
              <w:bottom w:val="nil"/>
              <w:right w:val="single" w:sz="6" w:space="0" w:color="auto"/>
            </w:tcBorders>
            <w:vAlign w:val="center"/>
          </w:tcPr>
          <w:p w:rsidR="0077060C" w:rsidRDefault="0077060C" w:rsidP="00016A2D">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КВЕД</w:t>
            </w:r>
          </w:p>
        </w:tc>
        <w:tc>
          <w:tcPr>
            <w:tcW w:w="172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49.31</w:t>
            </w: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Середня кількість працівників: </w:t>
      </w:r>
      <w:r>
        <w:rPr>
          <w:rFonts w:ascii="Times New Roman CYR" w:hAnsi="Times New Roman CYR" w:cs="Times New Roman CYR"/>
        </w:rPr>
        <w:t>147</w:t>
      </w:r>
    </w:p>
    <w:p w:rsidR="0077060C" w:rsidRDefault="0077060C" w:rsidP="0077060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Адреса, телефон: </w:t>
      </w:r>
      <w:r>
        <w:rPr>
          <w:rFonts w:ascii="Times New Roman CYR" w:hAnsi="Times New Roman CYR" w:cs="Times New Roman CYR"/>
        </w:rPr>
        <w:t>88015 м.Ужгород, Радiщева,2, 0505551165</w:t>
      </w:r>
    </w:p>
    <w:p w:rsidR="0077060C" w:rsidRDefault="0077060C" w:rsidP="0077060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Одиниця виміру: </w:t>
      </w:r>
      <w:r>
        <w:rPr>
          <w:rFonts w:ascii="Times New Roman CYR" w:hAnsi="Times New Roman CYR" w:cs="Times New Roman CYR"/>
        </w:rPr>
        <w:t>тис.грн. без десяткового знака</w:t>
      </w:r>
    </w:p>
    <w:p w:rsidR="0077060C" w:rsidRDefault="0077060C" w:rsidP="0077060C">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Складено </w:t>
      </w:r>
      <w:r>
        <w:rPr>
          <w:rFonts w:ascii="Times New Roman CYR" w:hAnsi="Times New Roman CYR" w:cs="Times New Roman CYR"/>
        </w:rPr>
        <w:t>(зробити позначку "v" у відповідній клітинці):</w:t>
      </w:r>
    </w:p>
    <w:tbl>
      <w:tblPr>
        <w:tblW w:w="0" w:type="auto"/>
        <w:tblInd w:w="108" w:type="dxa"/>
        <w:tblLayout w:type="fixed"/>
        <w:tblLook w:val="0000"/>
      </w:tblPr>
      <w:tblGrid>
        <w:gridCol w:w="8280"/>
        <w:gridCol w:w="1720"/>
      </w:tblGrid>
      <w:tr w:rsidR="0077060C" w:rsidTr="00016A2D">
        <w:tblPrEx>
          <w:tblCellMar>
            <w:top w:w="0" w:type="dxa"/>
            <w:bottom w:w="0" w:type="dxa"/>
          </w:tblCellMar>
        </w:tblPrEx>
        <w:trPr>
          <w:trHeight w:val="298"/>
        </w:trPr>
        <w:tc>
          <w:tcPr>
            <w:tcW w:w="8280" w:type="dxa"/>
            <w:vMerge w:val="restart"/>
            <w:tcBorders>
              <w:top w:val="nil"/>
              <w:left w:val="nil"/>
              <w:bottom w:val="nil"/>
              <w:right w:val="nil"/>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національними положеннями (стандартами) бухгалтерського обліку</w:t>
            </w:r>
          </w:p>
        </w:tc>
        <w:tc>
          <w:tcPr>
            <w:tcW w:w="172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r>
      <w:tr w:rsidR="0077060C" w:rsidTr="00016A2D">
        <w:tblPrEx>
          <w:tblCellMar>
            <w:top w:w="0" w:type="dxa"/>
            <w:bottom w:w="0" w:type="dxa"/>
          </w:tblCellMar>
        </w:tblPrEx>
        <w:trPr>
          <w:trHeight w:val="298"/>
        </w:trPr>
        <w:tc>
          <w:tcPr>
            <w:tcW w:w="8280" w:type="dxa"/>
            <w:vMerge w:val="restart"/>
            <w:tcBorders>
              <w:top w:val="nil"/>
              <w:left w:val="nil"/>
              <w:bottom w:val="nil"/>
              <w:right w:val="nil"/>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міжнародними стандартами фінансової звітності</w:t>
            </w:r>
          </w:p>
        </w:tc>
        <w:tc>
          <w:tcPr>
            <w:tcW w:w="172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Баланс</w:t>
      </w: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фінансовий стан)</w:t>
      </w: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sz w:val="24"/>
          <w:szCs w:val="24"/>
        </w:rPr>
        <w:t>на 31.12.2023 p.</w:t>
      </w: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№1</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524"/>
        <w:gridCol w:w="1205"/>
        <w:gridCol w:w="296"/>
        <w:gridCol w:w="1349"/>
      </w:tblGrid>
      <w:tr w:rsidR="0077060C" w:rsidTr="00016A2D">
        <w:tblPrEx>
          <w:tblCellMar>
            <w:top w:w="0" w:type="dxa"/>
            <w:bottom w:w="0" w:type="dxa"/>
          </w:tblCellMar>
        </w:tblPrEx>
        <w:trPr>
          <w:gridBefore w:val="3"/>
          <w:wBefore w:w="7150" w:type="dxa"/>
          <w:trHeight w:val="280"/>
        </w:trPr>
        <w:tc>
          <w:tcPr>
            <w:tcW w:w="1501" w:type="dxa"/>
            <w:gridSpan w:val="2"/>
            <w:tcBorders>
              <w:top w:val="nil"/>
              <w:left w:val="nil"/>
              <w:bottom w:val="nil"/>
              <w:right w:val="single" w:sz="6" w:space="0" w:color="auto"/>
            </w:tcBorders>
            <w:vAlign w:val="center"/>
          </w:tcPr>
          <w:p w:rsidR="0077060C" w:rsidRDefault="0077060C" w:rsidP="00016A2D">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349"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1801001</w:t>
            </w:r>
          </w:p>
        </w:tc>
      </w:tr>
      <w:tr w:rsidR="0077060C" w:rsidTr="00016A2D">
        <w:tblPrEx>
          <w:tblCellMar>
            <w:top w:w="0" w:type="dxa"/>
            <w:bottom w:w="0" w:type="dxa"/>
          </w:tblCellMar>
        </w:tblPrEx>
        <w:trPr>
          <w:trHeight w:val="300"/>
        </w:trPr>
        <w:tc>
          <w:tcPr>
            <w:tcW w:w="5850" w:type="dxa"/>
            <w:tcBorders>
              <w:top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Актив</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звітного періоду</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звітного періоду</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 Необоротні активи</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Нематеріальні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39</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75</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105</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накопичена 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( 52 )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( 66 )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Незавершені капітальні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засоби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19 593</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18 368</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36 191</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34 849</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знос</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( 16 598 )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( 16 481 )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Інвестиційна нерухомість</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1 664</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1 419</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5 276</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5 276</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знос</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1017</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( 3 612 )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( 3 857 )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біологічні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накопичена 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які обліковуються за методом участі в капіталі інших підприємств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Довгострокова дебіторська заборгованість</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податкові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Гудвіл</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аквізиційні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Залишок коштів у централізованих страхових резервних фондах</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1065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необоротні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1095</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21 298</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19 844</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II. Оборотні активи</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Запаси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336</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381</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Виробничі запаси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336</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381</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Незавершене виробництво</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Готова продукція</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Товари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1104</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біологічні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Депозити перестрахування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Векселі одержані</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Дебіторська заборгованість за продукцію, товари, роботи, послуги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1125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1 423</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1 431</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Дебіторська заборгованість за розрахунками: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за виданими авансами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579</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627</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 бюджетом</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 нарахованих доходів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із внутрішніх розрахунків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Інша поточна дебіторська заборгованість</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133</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146</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Гроші та їх еквіваленти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244</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737</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Готівка</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46</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Рахунки в банках</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1167</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194</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691</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майбутніх періодів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Частка перестраховика у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 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резервах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резервах збитків або резервах належних виплат</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резервах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інших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1184</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323</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112</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1195</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3 041</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3 437</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III. Необоротні активи, утримувані для продажу, та групи вибуття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1200</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Баланс</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1300</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24 339</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23 281</w:t>
            </w: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77060C" w:rsidTr="00016A2D">
        <w:tblPrEx>
          <w:tblCellMar>
            <w:top w:w="0" w:type="dxa"/>
            <w:bottom w:w="0" w:type="dxa"/>
          </w:tblCellMar>
        </w:tblPrEx>
        <w:trPr>
          <w:trHeight w:val="529"/>
        </w:trPr>
        <w:tc>
          <w:tcPr>
            <w:tcW w:w="5850" w:type="dxa"/>
            <w:tcBorders>
              <w:top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Пасив</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звітного періоду</w:t>
            </w:r>
          </w:p>
        </w:tc>
        <w:tc>
          <w:tcPr>
            <w:tcW w:w="1645" w:type="dxa"/>
            <w:tcBorders>
              <w:top w:val="single" w:sz="6" w:space="0" w:color="auto"/>
              <w:left w:val="single" w:sz="6" w:space="0" w:color="auto"/>
              <w:bottom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звітного періоду</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 Власний капітал</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r>
      <w:tr w:rsidR="0077060C" w:rsidTr="00016A2D">
        <w:tblPrEx>
          <w:tblCellMar>
            <w:top w:w="0" w:type="dxa"/>
            <w:bottom w:w="0" w:type="dxa"/>
          </w:tblCellMar>
        </w:tblPrEx>
        <w:trPr>
          <w:trHeight w:val="205"/>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Зареєстрований (пайовий)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1400</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Внески до незареєстрованого статутного капіталу</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1401</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Капітал у дооцінках</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1405</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11 842</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11 842</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1410</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Емісійний дохід</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1411</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Накопичені курсові різниці</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1412</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Резервний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1415</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Нерозподілений прибуток (непокритий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1420</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-8 092</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-8 391</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Неоплачений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1425</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Вилучений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1430</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1435</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19 004</w:t>
            </w:r>
          </w:p>
        </w:tc>
        <w:tc>
          <w:tcPr>
            <w:tcW w:w="1645" w:type="dxa"/>
            <w:tcBorders>
              <w:top w:val="single" w:sz="6" w:space="0" w:color="auto"/>
              <w:left w:val="single" w:sz="6" w:space="0" w:color="auto"/>
              <w:bottom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18 705</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II. Довгострокові зобов’язання і забезпечення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податкові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1500</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Пенсійні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1505</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кредити банків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1510</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довгострокові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1515</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Довгострокові забезпечення</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1520</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забезпечення витрат персоналу</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1521</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Цільове фінансування</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1525</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Благодійна допомога</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1526</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Страхові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1530</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1531</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 збитків або резерв належних виплат</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1532</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1533</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 страхові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1534</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Інвестиційні контракти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1535</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Призовий фонд</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1540</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Резерв на виплату джек-поту</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1545</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IІІ. Поточні зобов’язання і забезпечення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Короткострокові кредити банків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1600</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Векселі видані</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1605</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Поточна кредиторська заборгованість за:</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довгостроковими зобов’язаннями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1610</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товари, роботи, послуги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1615</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2 054</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1 900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бюджетом</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1620</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371</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419</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1621</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зі 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1625</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317</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195</w:t>
            </w:r>
          </w:p>
        </w:tc>
      </w:tr>
      <w:tr w:rsidR="0077060C" w:rsidTr="00016A2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оплати праці</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1630</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564</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663</w:t>
            </w:r>
          </w:p>
        </w:tc>
      </w:tr>
      <w:tr w:rsidR="0077060C" w:rsidTr="00016A2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одержаними авансами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1635</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w:t>
            </w:r>
          </w:p>
        </w:tc>
      </w:tr>
      <w:tr w:rsidR="0077060C" w:rsidTr="00016A2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учасниками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1640</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із внутрішніх розрахунків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1645</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страховою діяльністю</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1650</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забезпечення</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1660</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1 072</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1 070</w:t>
            </w:r>
          </w:p>
        </w:tc>
      </w:tr>
      <w:tr w:rsidR="0077060C" w:rsidTr="00016A2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Доходи майбутніх періодів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1665</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комісійні доходи від перестраховиків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1670</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поточні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1690</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941</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IІІ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5 335</w:t>
            </w:r>
          </w:p>
        </w:tc>
        <w:tc>
          <w:tcPr>
            <w:tcW w:w="1645" w:type="dxa"/>
            <w:tcBorders>
              <w:top w:val="single" w:sz="6" w:space="0" w:color="auto"/>
              <w:left w:val="single" w:sz="6" w:space="0" w:color="auto"/>
              <w:bottom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4 576</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ІV. Зобов’язання, пов’язані з необоротними активами, утримуваними для продажу, та групами вибуття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1700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Чиста вартість активів недержавного пенсійного фонду</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1800</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Баланс</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1900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24 339</w:t>
            </w:r>
          </w:p>
        </w:tc>
        <w:tc>
          <w:tcPr>
            <w:tcW w:w="1645" w:type="dxa"/>
            <w:tcBorders>
              <w:top w:val="single" w:sz="6" w:space="0" w:color="auto"/>
              <w:left w:val="single" w:sz="6" w:space="0" w:color="auto"/>
              <w:bottom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23 281</w:t>
            </w:r>
          </w:p>
        </w:tc>
      </w:tr>
    </w:tbl>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Примітки: Активи товариства зменшились на 4 вiдсотки</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Козун В.I.</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Лангазов Л.I.</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rPr>
        <w:sectPr w:rsidR="0077060C">
          <w:pgSz w:w="12240" w:h="15840"/>
          <w:pgMar w:top="570" w:right="720" w:bottom="570" w:left="720" w:header="708" w:footer="708" w:gutter="0"/>
          <w:cols w:space="720"/>
          <w:noEndnote/>
        </w:sectPr>
      </w:pPr>
    </w:p>
    <w:tbl>
      <w:tblPr>
        <w:tblW w:w="0" w:type="auto"/>
        <w:tblInd w:w="108" w:type="dxa"/>
        <w:tblLayout w:type="fixed"/>
        <w:tblLook w:val="0000"/>
      </w:tblPr>
      <w:tblGrid>
        <w:gridCol w:w="2160"/>
        <w:gridCol w:w="4466"/>
        <w:gridCol w:w="1654"/>
        <w:gridCol w:w="1720"/>
      </w:tblGrid>
      <w:tr w:rsidR="0077060C" w:rsidTr="00016A2D">
        <w:tblPrEx>
          <w:tblCellMar>
            <w:top w:w="0" w:type="dxa"/>
            <w:bottom w:w="0" w:type="dxa"/>
          </w:tblCellMar>
        </w:tblPrEx>
        <w:trPr>
          <w:gridBefore w:val="3"/>
          <w:wBefore w:w="8280" w:type="dxa"/>
          <w:trHeight w:val="300"/>
        </w:trPr>
        <w:tc>
          <w:tcPr>
            <w:tcW w:w="172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77060C" w:rsidTr="00016A2D">
        <w:tblPrEx>
          <w:tblCellMar>
            <w:top w:w="0" w:type="dxa"/>
            <w:bottom w:w="0" w:type="dxa"/>
          </w:tblCellMar>
        </w:tblPrEx>
        <w:trPr>
          <w:gridBefore w:val="2"/>
          <w:wBefore w:w="6626" w:type="dxa"/>
          <w:trHeight w:val="300"/>
        </w:trPr>
        <w:tc>
          <w:tcPr>
            <w:tcW w:w="1654" w:type="dxa"/>
            <w:tcBorders>
              <w:top w:val="nil"/>
              <w:left w:val="nil"/>
              <w:bottom w:val="nil"/>
              <w:right w:val="single" w:sz="6" w:space="0" w:color="auto"/>
            </w:tcBorders>
            <w:vAlign w:val="center"/>
          </w:tcPr>
          <w:p w:rsidR="0077060C" w:rsidRDefault="0077060C" w:rsidP="00016A2D">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Дата</w:t>
            </w:r>
          </w:p>
        </w:tc>
        <w:tc>
          <w:tcPr>
            <w:tcW w:w="172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01.01.2024</w:t>
            </w:r>
          </w:p>
        </w:tc>
      </w:tr>
      <w:tr w:rsidR="0077060C" w:rsidTr="00016A2D">
        <w:tblPrEx>
          <w:tblCellMar>
            <w:top w:w="0" w:type="dxa"/>
            <w:bottom w:w="0" w:type="dxa"/>
          </w:tblCellMar>
        </w:tblPrEx>
        <w:trPr>
          <w:trHeight w:val="298"/>
        </w:trPr>
        <w:tc>
          <w:tcPr>
            <w:tcW w:w="2160" w:type="dxa"/>
            <w:tcBorders>
              <w:top w:val="nil"/>
              <w:left w:val="nil"/>
              <w:bottom w:val="nil"/>
              <w:right w:val="nil"/>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66" w:type="dxa"/>
            <w:tcBorders>
              <w:top w:val="nil"/>
              <w:left w:val="nil"/>
              <w:bottom w:val="nil"/>
              <w:right w:val="nil"/>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Акцiонерне товариство "Ужгородське автотранспортне пiдприємтсво 12107"</w:t>
            </w:r>
          </w:p>
        </w:tc>
        <w:tc>
          <w:tcPr>
            <w:tcW w:w="1654" w:type="dxa"/>
            <w:tcBorders>
              <w:top w:val="nil"/>
              <w:left w:val="nil"/>
              <w:bottom w:val="nil"/>
              <w:right w:val="single" w:sz="6" w:space="0" w:color="auto"/>
            </w:tcBorders>
            <w:vAlign w:val="center"/>
          </w:tcPr>
          <w:p w:rsidR="0077060C" w:rsidRDefault="0077060C" w:rsidP="00016A2D">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ЄДРПОУ</w:t>
            </w:r>
          </w:p>
        </w:tc>
        <w:tc>
          <w:tcPr>
            <w:tcW w:w="172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03114017</w:t>
            </w: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rPr>
      </w:pP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фінансові результати</w:t>
      </w: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сукупний дохід)</w:t>
      </w: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2023 рік</w:t>
      </w: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№2</w:t>
      </w: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 Фінансові результати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524"/>
        <w:gridCol w:w="1205"/>
        <w:gridCol w:w="296"/>
        <w:gridCol w:w="1349"/>
      </w:tblGrid>
      <w:tr w:rsidR="0077060C" w:rsidTr="00016A2D">
        <w:tblPrEx>
          <w:tblCellMar>
            <w:top w:w="0" w:type="dxa"/>
            <w:bottom w:w="0" w:type="dxa"/>
          </w:tblCellMar>
        </w:tblPrEx>
        <w:trPr>
          <w:gridBefore w:val="3"/>
          <w:wBefore w:w="7150" w:type="dxa"/>
          <w:trHeight w:val="280"/>
        </w:trPr>
        <w:tc>
          <w:tcPr>
            <w:tcW w:w="1501" w:type="dxa"/>
            <w:gridSpan w:val="2"/>
            <w:tcBorders>
              <w:top w:val="nil"/>
              <w:left w:val="nil"/>
              <w:bottom w:val="nil"/>
              <w:right w:val="single" w:sz="6" w:space="0" w:color="auto"/>
            </w:tcBorders>
            <w:vAlign w:val="center"/>
          </w:tcPr>
          <w:p w:rsidR="0077060C" w:rsidRDefault="0077060C" w:rsidP="00016A2D">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349"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1801003</w:t>
            </w:r>
          </w:p>
        </w:tc>
      </w:tr>
      <w:tr w:rsidR="0077060C" w:rsidTr="00016A2D">
        <w:tblPrEx>
          <w:tblCellMar>
            <w:top w:w="0" w:type="dxa"/>
            <w:bottom w:w="0" w:type="dxa"/>
          </w:tblCellMar>
        </w:tblPrEx>
        <w:trPr>
          <w:trHeight w:val="530"/>
        </w:trPr>
        <w:tc>
          <w:tcPr>
            <w:tcW w:w="5850" w:type="dxa"/>
            <w:tcBorders>
              <w:top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Чистий дохід від реалізації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46 939</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39 862</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Чисті зароблені страхові премії</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Премії підписані,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Премії, передані у перестрахування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резерву незароблених премій,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частки перестраховиків у резерві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2014</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Собівартість реалізованої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( 44 670 )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( 39 336 )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Чисті понесені збитки за страховими виплатами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Валовий:</w:t>
            </w:r>
          </w:p>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2 269</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526</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(витрати) від зміни у резервах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(витрати) від зміни інших страхових резервів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інших страхових резервів,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частки перестраховиків в інших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7 850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7 507</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зміни вартості активів, які оцінюються за справедливою вартістю</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первісного визнання біологічних активів і сільськогосподарської продукції</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використання коштів, вивільнених від оподаткування</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Адміністративні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( 4 477 )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( 3 506 )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на збут</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( 5 941 )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( 4 486 )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від зміни вартості активів, які оцінюються за справедливою вартістю</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від первісного визнання біологічних активів і сільськогосподарської продукції</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Фінансовий результат від операційної діяльності:</w:t>
            </w:r>
          </w:p>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( 299 )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участі в капіталі</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фінансові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благодійної допомоги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2241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Фінансові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Втрати від участі в капіталі</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Прибуток (збиток) від впливу інфляції на монетарні статті</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Фінансовий результат до оподаткування:</w:t>
            </w:r>
          </w:p>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( 299 )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(дохід)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Прибуток (збиток) від припиненої діяльності після оподаткування</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фінансовий результат:</w:t>
            </w:r>
          </w:p>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( 299 )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bl>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II. Сукупний дохід</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77060C" w:rsidTr="00016A2D">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Дооцінка (уцінка)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2400</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Дооцінка (уцінка) фінансових інструментів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2405</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Накопичені курсові різниці</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2410</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Частка іншого сукупного доходу асоційованих та спільних підприємств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2415</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Інший сукупний дохід</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2445</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Інший сукупний дохід до оподаткування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2450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Податок на прибуток, пов’язаний з іншим сукупним доходом</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2455</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Інший сукупний дохід після оподаткування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2460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Сукупний дохід (сума рядків 2350, 2355 та 2460)</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2465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-299</w:t>
            </w:r>
          </w:p>
        </w:tc>
        <w:tc>
          <w:tcPr>
            <w:tcW w:w="1645" w:type="dxa"/>
            <w:tcBorders>
              <w:top w:val="single" w:sz="6" w:space="0" w:color="auto"/>
              <w:left w:val="single" w:sz="6" w:space="0" w:color="auto"/>
              <w:bottom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w:t>
            </w:r>
          </w:p>
        </w:tc>
      </w:tr>
    </w:tbl>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III. Елементи операційних витрат</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77060C" w:rsidTr="00016A2D">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статті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Матеріальні затрати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2500</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33 879</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29 683</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на оплату праці</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2505</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10 359</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8 499</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Відрахування на соціальні заходи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2510</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2 726</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2 496</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2515</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1 539</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1 653</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2520</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6 528</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4 929</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Разом</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2550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55 031</w:t>
            </w:r>
          </w:p>
        </w:tc>
        <w:tc>
          <w:tcPr>
            <w:tcW w:w="1645" w:type="dxa"/>
            <w:tcBorders>
              <w:top w:val="single" w:sz="6" w:space="0" w:color="auto"/>
              <w:left w:val="single" w:sz="6" w:space="0" w:color="auto"/>
              <w:bottom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47 260</w:t>
            </w:r>
          </w:p>
        </w:tc>
      </w:tr>
    </w:tbl>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ІV. Розрахунок показників прибутковості акцій</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1729"/>
        <w:gridCol w:w="1645"/>
      </w:tblGrid>
      <w:tr w:rsidR="0077060C" w:rsidTr="00016A2D">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статті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Середньорічна кількість простих акцій</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2600</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5 185 350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5 185 350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Скоригована середньорічна кількість простих акцій</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2605</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5 185 350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5 185 350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Чистий прибуток (збиток)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2610</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0,000000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0,000000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Скоригований чистий прибуток (збиток)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2615</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0,000000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0,000000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Дивіденди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2650</w:t>
            </w:r>
          </w:p>
        </w:tc>
        <w:tc>
          <w:tcPr>
            <w:tcW w:w="1729"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w:t>
            </w:r>
          </w:p>
        </w:tc>
        <w:tc>
          <w:tcPr>
            <w:tcW w:w="1645" w:type="dxa"/>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w:t>
            </w:r>
          </w:p>
        </w:tc>
      </w:tr>
    </w:tbl>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Примітки: Чистий збиток складає -299 тис.грн.</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Козун В.I.</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Лангазов Л.I.</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rPr>
        <w:sectPr w:rsidR="0077060C">
          <w:pgSz w:w="12240" w:h="15840"/>
          <w:pgMar w:top="570" w:right="720" w:bottom="570" w:left="720" w:header="708" w:footer="708" w:gutter="0"/>
          <w:cols w:space="720"/>
          <w:noEndnote/>
        </w:sectPr>
      </w:pPr>
    </w:p>
    <w:tbl>
      <w:tblPr>
        <w:tblW w:w="0" w:type="auto"/>
        <w:tblInd w:w="108" w:type="dxa"/>
        <w:tblLayout w:type="fixed"/>
        <w:tblLook w:val="0000"/>
      </w:tblPr>
      <w:tblGrid>
        <w:gridCol w:w="2160"/>
        <w:gridCol w:w="4490"/>
        <w:gridCol w:w="1990"/>
        <w:gridCol w:w="1360"/>
      </w:tblGrid>
      <w:tr w:rsidR="0077060C" w:rsidTr="00016A2D">
        <w:tblPrEx>
          <w:tblCellMar>
            <w:top w:w="0" w:type="dxa"/>
            <w:bottom w:w="0" w:type="dxa"/>
          </w:tblCellMar>
        </w:tblPrEx>
        <w:trPr>
          <w:gridBefore w:val="3"/>
          <w:wBefore w:w="8640" w:type="dxa"/>
          <w:trHeight w:val="200"/>
        </w:trPr>
        <w:tc>
          <w:tcPr>
            <w:tcW w:w="13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77060C" w:rsidTr="00016A2D">
        <w:tblPrEx>
          <w:tblCellMar>
            <w:top w:w="0" w:type="dxa"/>
            <w:bottom w:w="0" w:type="dxa"/>
          </w:tblCellMar>
        </w:tblPrEx>
        <w:trPr>
          <w:gridBefore w:val="2"/>
          <w:wBefore w:w="6650" w:type="dxa"/>
          <w:trHeight w:val="200"/>
        </w:trPr>
        <w:tc>
          <w:tcPr>
            <w:tcW w:w="1990" w:type="dxa"/>
            <w:tcBorders>
              <w:top w:val="nil"/>
              <w:left w:val="nil"/>
              <w:bottom w:val="nil"/>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w:t>
            </w:r>
          </w:p>
        </w:tc>
        <w:tc>
          <w:tcPr>
            <w:tcW w:w="13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01.01.2024</w:t>
            </w:r>
          </w:p>
        </w:tc>
      </w:tr>
      <w:tr w:rsidR="0077060C" w:rsidTr="00016A2D">
        <w:tblPrEx>
          <w:tblCellMar>
            <w:top w:w="0" w:type="dxa"/>
            <w:bottom w:w="0" w:type="dxa"/>
          </w:tblCellMar>
        </w:tblPrEx>
        <w:tc>
          <w:tcPr>
            <w:tcW w:w="2160" w:type="dxa"/>
            <w:tcBorders>
              <w:top w:val="nil"/>
              <w:left w:val="nil"/>
              <w:bottom w:val="nil"/>
              <w:right w:val="nil"/>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90" w:type="dxa"/>
            <w:vMerge w:val="restart"/>
            <w:tcBorders>
              <w:top w:val="nil"/>
              <w:left w:val="nil"/>
              <w:bottom w:val="nil"/>
              <w:right w:val="nil"/>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Акцiонерне товариство "Ужгородське автотранспортне пiдприємтсво 12107"</w:t>
            </w:r>
          </w:p>
        </w:tc>
        <w:tc>
          <w:tcPr>
            <w:tcW w:w="1990" w:type="dxa"/>
            <w:tcBorders>
              <w:top w:val="nil"/>
              <w:left w:val="nil"/>
              <w:bottom w:val="nil"/>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 ЄДРПОУ</w:t>
            </w:r>
          </w:p>
        </w:tc>
        <w:tc>
          <w:tcPr>
            <w:tcW w:w="136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03114017</w:t>
            </w: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rPr>
      </w:pP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рух грошових коштів (за прямим методом)</w:t>
      </w: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2023 рік</w:t>
      </w: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№3</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850"/>
        <w:gridCol w:w="776"/>
        <w:gridCol w:w="874"/>
        <w:gridCol w:w="855"/>
        <w:gridCol w:w="645"/>
        <w:gridCol w:w="1000"/>
      </w:tblGrid>
      <w:tr w:rsidR="0077060C" w:rsidTr="00016A2D">
        <w:tblPrEx>
          <w:tblCellMar>
            <w:top w:w="0" w:type="dxa"/>
            <w:bottom w:w="0" w:type="dxa"/>
          </w:tblCellMar>
        </w:tblPrEx>
        <w:trPr>
          <w:gridBefore w:val="3"/>
          <w:wBefore w:w="7500" w:type="dxa"/>
          <w:trHeight w:val="280"/>
        </w:trPr>
        <w:tc>
          <w:tcPr>
            <w:tcW w:w="1500" w:type="dxa"/>
            <w:gridSpan w:val="2"/>
            <w:tcBorders>
              <w:top w:val="nil"/>
              <w:left w:val="nil"/>
              <w:bottom w:val="nil"/>
              <w:right w:val="single" w:sz="6" w:space="0" w:color="auto"/>
            </w:tcBorders>
            <w:vAlign w:val="center"/>
          </w:tcPr>
          <w:p w:rsidR="0077060C" w:rsidRDefault="0077060C" w:rsidP="00016A2D">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00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1801004</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77060C" w:rsidRDefault="0077060C" w:rsidP="00016A2D">
            <w:pPr>
              <w:widowControl w:val="0"/>
              <w:autoSpaceDE w:val="0"/>
              <w:autoSpaceDN w:val="0"/>
              <w:adjustRightInd w:val="0"/>
              <w:spacing w:after="0" w:line="240" w:lineRule="auto"/>
              <w:jc w:val="right"/>
              <w:rPr>
                <w:rFonts w:ascii="Times New Roman CYR" w:hAnsi="Times New Roman CYR" w:cs="Times New Roman CYR"/>
              </w:rPr>
            </w:pPr>
          </w:p>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gridSpan w:val="2"/>
            <w:tcBorders>
              <w:top w:val="single" w:sz="6" w:space="0" w:color="auto"/>
              <w:left w:val="single" w:sz="6" w:space="0" w:color="auto"/>
              <w:bottom w:val="single" w:sz="6" w:space="0" w:color="auto"/>
            </w:tcBorders>
            <w:shd w:val="clear" w:color="auto" w:fill="E6E6E6"/>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 Рух коштів у результаті операційної діяльності</w:t>
            </w:r>
          </w:p>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Реалізації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44 777</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37 298</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Повернення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податку на додану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Цільового фінансування</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7 234</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6 767</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отримання субсидій, дотацій</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7 234</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6 767</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авансів від покупців і замовників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повернення авансів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відсотків за залишками коштів на поточних рахунках</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3025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боржників неустойки (штрафів, пені)</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операційної оренди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2 450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1 802</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Надходження від отримання роялті, авторських винагород </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страхових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фінансових установ від повернення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233</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Витрачання на оплату: </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( 37 758 )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( 31 766 )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Праці</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( 8 276 )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( 7 047 )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Відрахувань на соціальні заходи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( 2 848 )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( 2 721 )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Зобов'язань з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( 4 018 )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( 3 822 )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 податку на додану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3117</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( 415 )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( 287 )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 інших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3118</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( 3 603 )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( 3 535 )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авансів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( 122 )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( 307 )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повернення авансів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цільових внесків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за страховими контрактами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фінансових установ на надання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витрачання</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( 627 )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( 168 )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від операційної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1 050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297</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II. Рух коштів у результаті інвестиційної діяльності</w:t>
            </w:r>
          </w:p>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реалізації:</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фінансових інвестицій</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отриманих:</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 xml:space="preserve">    відсотків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дивідендів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деривативів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3225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погашення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вибуття дочірнього підприємства та іншої господарської одиниці</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придбання:</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фінансових інвестицій</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( 55 )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( 77 )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Виплати за деривативами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надання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3275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придбання дочірнього підприємства та іншої господарської одиниці</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платежі</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від інвестиційної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-45</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-67</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III. Рух коштів у результаті фінансової діяльності</w:t>
            </w:r>
          </w:p>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Власного капіталу</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Отримання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500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продажу частки в дочірньому підприємстві</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Викуп власних акцій</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Погашення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( 510 )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( 605 )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Сплату дивідендів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сплату відсотків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сплату заборгованості з фінансової оренди</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3365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придбання частки в дочірньому підприємстві</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виплати неконтрольованим часткам у дочірніх підприємствах</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3375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платежі</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від фінансової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-510</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-105</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за звітний період</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495</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125</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Залишок коштів на початок року</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244</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115</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Вплив зміни валютних курсів на залишок коштів</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77060C" w:rsidTr="00016A2D">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Залишок коштів на кінець року</w:t>
            </w:r>
          </w:p>
        </w:tc>
        <w:tc>
          <w:tcPr>
            <w:tcW w:w="776"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737</w:t>
            </w:r>
          </w:p>
        </w:tc>
        <w:tc>
          <w:tcPr>
            <w:tcW w:w="1645"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244</w:t>
            </w:r>
          </w:p>
        </w:tc>
      </w:tr>
    </w:tbl>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Примітки: Залишок коштiв на кiнець року складає 737 тис.грн.</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Козун В.I.</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Лангазов Л.I.</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rPr>
        <w:sectPr w:rsidR="0077060C">
          <w:pgSz w:w="12240" w:h="15840"/>
          <w:pgMar w:top="570" w:right="720" w:bottom="570" w:left="720" w:header="708" w:footer="708" w:gutter="0"/>
          <w:cols w:space="720"/>
          <w:noEndnote/>
        </w:sectPr>
      </w:pPr>
    </w:p>
    <w:tbl>
      <w:tblPr>
        <w:tblW w:w="0" w:type="auto"/>
        <w:tblInd w:w="3168" w:type="dxa"/>
        <w:tblLayout w:type="fixed"/>
        <w:tblLook w:val="0000"/>
      </w:tblPr>
      <w:tblGrid>
        <w:gridCol w:w="2240"/>
        <w:gridCol w:w="5500"/>
        <w:gridCol w:w="1800"/>
        <w:gridCol w:w="2000"/>
      </w:tblGrid>
      <w:tr w:rsidR="0077060C" w:rsidTr="00016A2D">
        <w:tblPrEx>
          <w:tblCellMar>
            <w:top w:w="0" w:type="dxa"/>
            <w:bottom w:w="0" w:type="dxa"/>
          </w:tblCellMar>
        </w:tblPrEx>
        <w:trPr>
          <w:gridBefore w:val="3"/>
          <w:wBefore w:w="9540" w:type="dxa"/>
          <w:trHeight w:val="298"/>
        </w:trPr>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77060C" w:rsidTr="00016A2D">
        <w:tblPrEx>
          <w:tblCellMar>
            <w:top w:w="0" w:type="dxa"/>
            <w:bottom w:w="0" w:type="dxa"/>
          </w:tblCellMar>
        </w:tblPrEx>
        <w:trPr>
          <w:gridBefore w:val="2"/>
          <w:wBefore w:w="7740" w:type="dxa"/>
          <w:trHeight w:val="298"/>
        </w:trPr>
        <w:tc>
          <w:tcPr>
            <w:tcW w:w="1800" w:type="dxa"/>
            <w:tcBorders>
              <w:top w:val="nil"/>
              <w:left w:val="nil"/>
              <w:bottom w:val="nil"/>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01.01.2024</w:t>
            </w:r>
          </w:p>
        </w:tc>
      </w:tr>
      <w:tr w:rsidR="0077060C" w:rsidTr="00016A2D">
        <w:tblPrEx>
          <w:tblCellMar>
            <w:top w:w="0" w:type="dxa"/>
            <w:bottom w:w="0" w:type="dxa"/>
          </w:tblCellMar>
        </w:tblPrEx>
        <w:tc>
          <w:tcPr>
            <w:tcW w:w="2240" w:type="dxa"/>
            <w:tcBorders>
              <w:top w:val="nil"/>
              <w:left w:val="nil"/>
              <w:bottom w:val="nil"/>
              <w:right w:val="nil"/>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5500" w:type="dxa"/>
            <w:vMerge w:val="restart"/>
            <w:tcBorders>
              <w:top w:val="nil"/>
              <w:left w:val="nil"/>
              <w:bottom w:val="nil"/>
              <w:right w:val="nil"/>
            </w:tcBorders>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Акцiонерне товариство "Ужгородське автотранспортне пiдприємтсво 12107"</w:t>
            </w:r>
          </w:p>
        </w:tc>
        <w:tc>
          <w:tcPr>
            <w:tcW w:w="1800" w:type="dxa"/>
            <w:tcBorders>
              <w:top w:val="nil"/>
              <w:left w:val="nil"/>
              <w:bottom w:val="nil"/>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 ЄДРПОУ</w:t>
            </w:r>
          </w:p>
        </w:tc>
        <w:tc>
          <w:tcPr>
            <w:tcW w:w="2000" w:type="dxa"/>
            <w:tcBorders>
              <w:top w:val="single" w:sz="6" w:space="0" w:color="auto"/>
              <w:left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03114017</w:t>
            </w:r>
          </w:p>
        </w:tc>
      </w:tr>
    </w:tbl>
    <w:p w:rsidR="0077060C" w:rsidRDefault="0077060C" w:rsidP="0077060C">
      <w:pPr>
        <w:widowControl w:val="0"/>
        <w:autoSpaceDE w:val="0"/>
        <w:autoSpaceDN w:val="0"/>
        <w:adjustRightInd w:val="0"/>
        <w:spacing w:after="0" w:line="240" w:lineRule="auto"/>
        <w:rPr>
          <w:rFonts w:ascii="Times New Roman CYR" w:hAnsi="Times New Roman CYR" w:cs="Times New Roman CYR"/>
          <w:sz w:val="24"/>
          <w:szCs w:val="24"/>
        </w:rPr>
      </w:pP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власний капітал</w:t>
      </w: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2023 рік</w:t>
      </w:r>
    </w:p>
    <w:p w:rsidR="0077060C" w:rsidRDefault="0077060C" w:rsidP="0077060C">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№4</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50"/>
        <w:gridCol w:w="1250"/>
        <w:gridCol w:w="1100"/>
        <w:gridCol w:w="1350"/>
        <w:gridCol w:w="1300"/>
        <w:gridCol w:w="1200"/>
        <w:gridCol w:w="1300"/>
        <w:gridCol w:w="950"/>
        <w:gridCol w:w="550"/>
        <w:gridCol w:w="1250"/>
        <w:gridCol w:w="50"/>
        <w:gridCol w:w="1250"/>
      </w:tblGrid>
      <w:tr w:rsidR="0077060C" w:rsidTr="00016A2D">
        <w:tblPrEx>
          <w:tblCellMar>
            <w:top w:w="0" w:type="dxa"/>
            <w:bottom w:w="0" w:type="dxa"/>
          </w:tblCellMar>
        </w:tblPrEx>
        <w:trPr>
          <w:gridBefore w:val="8"/>
          <w:wBefore w:w="11500" w:type="dxa"/>
          <w:trHeight w:val="280"/>
        </w:trPr>
        <w:tc>
          <w:tcPr>
            <w:tcW w:w="1800" w:type="dxa"/>
            <w:gridSpan w:val="2"/>
            <w:tcBorders>
              <w:top w:val="nil"/>
              <w:left w:val="nil"/>
              <w:bottom w:val="nil"/>
              <w:right w:val="single" w:sz="6" w:space="0" w:color="auto"/>
            </w:tcBorders>
            <w:vAlign w:val="center"/>
          </w:tcPr>
          <w:p w:rsidR="0077060C" w:rsidRDefault="0077060C" w:rsidP="00016A2D">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300" w:type="dxa"/>
            <w:gridSpan w:val="2"/>
            <w:tcBorders>
              <w:top w:val="single" w:sz="6" w:space="0" w:color="auto"/>
              <w:left w:val="single" w:sz="6" w:space="0" w:color="auto"/>
              <w:bottom w:val="single" w:sz="6" w:space="0" w:color="auto"/>
            </w:tcBorders>
            <w:vAlign w:val="center"/>
          </w:tcPr>
          <w:p w:rsidR="0077060C" w:rsidRDefault="0077060C" w:rsidP="00016A2D">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1801005</w:t>
            </w:r>
          </w:p>
        </w:tc>
      </w:tr>
      <w:tr w:rsidR="0077060C" w:rsidTr="00016A2D">
        <w:tblPrEx>
          <w:tblCellMar>
            <w:top w:w="0" w:type="dxa"/>
            <w:bottom w:w="0" w:type="dxa"/>
          </w:tblCellMar>
        </w:tblPrEx>
        <w:trPr>
          <w:trHeight w:val="530"/>
        </w:trPr>
        <w:tc>
          <w:tcPr>
            <w:tcW w:w="3050" w:type="dxa"/>
            <w:tcBorders>
              <w:top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1250"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100"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Зареєстрований капітал</w:t>
            </w:r>
          </w:p>
        </w:tc>
        <w:tc>
          <w:tcPr>
            <w:tcW w:w="1350"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Капітал у дооцінках</w:t>
            </w:r>
          </w:p>
        </w:tc>
        <w:tc>
          <w:tcPr>
            <w:tcW w:w="1300"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Додатковий капітал</w:t>
            </w:r>
          </w:p>
        </w:tc>
        <w:tc>
          <w:tcPr>
            <w:tcW w:w="1200"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Резервний капітал</w:t>
            </w:r>
          </w:p>
        </w:tc>
        <w:tc>
          <w:tcPr>
            <w:tcW w:w="1300" w:type="dxa"/>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Нерозподілений прибуток (непокритий збиток)</w:t>
            </w:r>
          </w:p>
        </w:tc>
        <w:tc>
          <w:tcPr>
            <w:tcW w:w="1500"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Неоплачений капітал</w:t>
            </w:r>
          </w:p>
        </w:tc>
        <w:tc>
          <w:tcPr>
            <w:tcW w:w="1300"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Вилучений капітал</w:t>
            </w:r>
          </w:p>
        </w:tc>
        <w:tc>
          <w:tcPr>
            <w:tcW w:w="1250" w:type="dxa"/>
            <w:tcBorders>
              <w:top w:val="single" w:sz="6" w:space="0" w:color="auto"/>
              <w:left w:val="single" w:sz="6" w:space="0" w:color="auto"/>
              <w:bottom w:val="single" w:sz="6" w:space="0" w:color="auto"/>
            </w:tcBorders>
            <w:shd w:val="clear" w:color="auto" w:fill="E6E6E6"/>
            <w:vAlign w:val="center"/>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Всього</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shd w:val="clear" w:color="auto" w:fill="E6E6E6"/>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250" w:type="dxa"/>
            <w:tcBorders>
              <w:top w:val="single" w:sz="6" w:space="0" w:color="auto"/>
              <w:left w:val="single" w:sz="6" w:space="0" w:color="auto"/>
              <w:bottom w:val="single" w:sz="6" w:space="0" w:color="auto"/>
              <w:right w:val="single" w:sz="6" w:space="0" w:color="auto"/>
            </w:tcBorders>
            <w:shd w:val="clear" w:color="auto" w:fill="E6E6E6"/>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100" w:type="dxa"/>
            <w:tcBorders>
              <w:top w:val="single" w:sz="6" w:space="0" w:color="auto"/>
              <w:left w:val="single" w:sz="6" w:space="0" w:color="auto"/>
              <w:bottom w:val="single" w:sz="6" w:space="0" w:color="auto"/>
              <w:right w:val="single" w:sz="6" w:space="0" w:color="auto"/>
            </w:tcBorders>
            <w:shd w:val="clear" w:color="auto" w:fill="E6E6E6"/>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350" w:type="dxa"/>
            <w:tcBorders>
              <w:top w:val="single" w:sz="6" w:space="0" w:color="auto"/>
              <w:left w:val="single" w:sz="6" w:space="0" w:color="auto"/>
              <w:bottom w:val="single" w:sz="6" w:space="0" w:color="auto"/>
              <w:right w:val="single" w:sz="6" w:space="0" w:color="auto"/>
            </w:tcBorders>
            <w:shd w:val="clear" w:color="auto" w:fill="E6E6E6"/>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300" w:type="dxa"/>
            <w:tcBorders>
              <w:top w:val="single" w:sz="6" w:space="0" w:color="auto"/>
              <w:left w:val="single" w:sz="6" w:space="0" w:color="auto"/>
              <w:bottom w:val="single" w:sz="6" w:space="0" w:color="auto"/>
              <w:right w:val="single" w:sz="6" w:space="0" w:color="auto"/>
            </w:tcBorders>
            <w:shd w:val="clear" w:color="auto" w:fill="E6E6E6"/>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200" w:type="dxa"/>
            <w:tcBorders>
              <w:top w:val="single" w:sz="6" w:space="0" w:color="auto"/>
              <w:left w:val="single" w:sz="6" w:space="0" w:color="auto"/>
              <w:bottom w:val="single" w:sz="6" w:space="0" w:color="auto"/>
              <w:right w:val="single" w:sz="6" w:space="0" w:color="auto"/>
            </w:tcBorders>
            <w:shd w:val="clear" w:color="auto" w:fill="E6E6E6"/>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300" w:type="dxa"/>
            <w:tcBorders>
              <w:top w:val="single" w:sz="6" w:space="0" w:color="auto"/>
              <w:left w:val="single" w:sz="6" w:space="0" w:color="auto"/>
              <w:bottom w:val="single" w:sz="6" w:space="0" w:color="auto"/>
              <w:right w:val="single" w:sz="6" w:space="0" w:color="auto"/>
            </w:tcBorders>
            <w:shd w:val="clear" w:color="auto" w:fill="E6E6E6"/>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1500" w:type="dxa"/>
            <w:gridSpan w:val="2"/>
            <w:tcBorders>
              <w:top w:val="single" w:sz="6" w:space="0" w:color="auto"/>
              <w:left w:val="single" w:sz="6" w:space="0" w:color="auto"/>
              <w:bottom w:val="single" w:sz="6" w:space="0" w:color="auto"/>
              <w:right w:val="single" w:sz="6" w:space="0" w:color="auto"/>
            </w:tcBorders>
            <w:shd w:val="clear" w:color="auto" w:fill="E6E6E6"/>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c>
          <w:tcPr>
            <w:tcW w:w="1300" w:type="dxa"/>
            <w:gridSpan w:val="2"/>
            <w:tcBorders>
              <w:top w:val="single" w:sz="6" w:space="0" w:color="auto"/>
              <w:left w:val="single" w:sz="6" w:space="0" w:color="auto"/>
              <w:bottom w:val="single" w:sz="6" w:space="0" w:color="auto"/>
              <w:right w:val="single" w:sz="6" w:space="0" w:color="auto"/>
            </w:tcBorders>
            <w:shd w:val="clear" w:color="auto" w:fill="E6E6E6"/>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w:t>
            </w:r>
          </w:p>
        </w:tc>
        <w:tc>
          <w:tcPr>
            <w:tcW w:w="1250" w:type="dxa"/>
            <w:tcBorders>
              <w:top w:val="single" w:sz="6" w:space="0" w:color="auto"/>
              <w:left w:val="single" w:sz="6" w:space="0" w:color="auto"/>
              <w:bottom w:val="single" w:sz="6" w:space="0" w:color="auto"/>
            </w:tcBorders>
            <w:shd w:val="clear" w:color="auto" w:fill="E6E6E6"/>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Залишок на початок року</w:t>
            </w:r>
          </w:p>
        </w:tc>
        <w:tc>
          <w:tcPr>
            <w:tcW w:w="12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4000</w:t>
            </w:r>
          </w:p>
        </w:tc>
        <w:tc>
          <w:tcPr>
            <w:tcW w:w="1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11 842</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-8 092</w:t>
            </w:r>
          </w:p>
        </w:tc>
        <w:tc>
          <w:tcPr>
            <w:tcW w:w="15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19 004</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Коригування:</w:t>
            </w:r>
          </w:p>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облікової політики</w:t>
            </w:r>
          </w:p>
        </w:tc>
        <w:tc>
          <w:tcPr>
            <w:tcW w:w="12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4005</w:t>
            </w:r>
          </w:p>
        </w:tc>
        <w:tc>
          <w:tcPr>
            <w:tcW w:w="1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Виправлення помилок </w:t>
            </w:r>
          </w:p>
        </w:tc>
        <w:tc>
          <w:tcPr>
            <w:tcW w:w="12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4010</w:t>
            </w:r>
          </w:p>
        </w:tc>
        <w:tc>
          <w:tcPr>
            <w:tcW w:w="1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Інші зміни </w:t>
            </w:r>
          </w:p>
        </w:tc>
        <w:tc>
          <w:tcPr>
            <w:tcW w:w="12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4090</w:t>
            </w:r>
          </w:p>
        </w:tc>
        <w:tc>
          <w:tcPr>
            <w:tcW w:w="1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Скоригований залишок на початок року </w:t>
            </w:r>
          </w:p>
        </w:tc>
        <w:tc>
          <w:tcPr>
            <w:tcW w:w="12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4095</w:t>
            </w:r>
          </w:p>
        </w:tc>
        <w:tc>
          <w:tcPr>
            <w:tcW w:w="1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11 842</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-8 092</w:t>
            </w:r>
          </w:p>
        </w:tc>
        <w:tc>
          <w:tcPr>
            <w:tcW w:w="15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19 004</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Чистий прибуток (збиток) за звітний період </w:t>
            </w:r>
          </w:p>
        </w:tc>
        <w:tc>
          <w:tcPr>
            <w:tcW w:w="12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4100</w:t>
            </w:r>
          </w:p>
        </w:tc>
        <w:tc>
          <w:tcPr>
            <w:tcW w:w="1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-299</w:t>
            </w:r>
          </w:p>
        </w:tc>
        <w:tc>
          <w:tcPr>
            <w:tcW w:w="15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-299</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Інший сукупний дохід за звітний період </w:t>
            </w:r>
          </w:p>
        </w:tc>
        <w:tc>
          <w:tcPr>
            <w:tcW w:w="12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4110</w:t>
            </w:r>
          </w:p>
        </w:tc>
        <w:tc>
          <w:tcPr>
            <w:tcW w:w="1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Дооцінка (уцінка) необоротних активів </w:t>
            </w:r>
          </w:p>
        </w:tc>
        <w:tc>
          <w:tcPr>
            <w:tcW w:w="12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4111</w:t>
            </w:r>
          </w:p>
        </w:tc>
        <w:tc>
          <w:tcPr>
            <w:tcW w:w="1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Дооцінка (уцінка) фінансових інструментів </w:t>
            </w:r>
          </w:p>
        </w:tc>
        <w:tc>
          <w:tcPr>
            <w:tcW w:w="12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4112</w:t>
            </w:r>
          </w:p>
        </w:tc>
        <w:tc>
          <w:tcPr>
            <w:tcW w:w="1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Накопичені курсові різниці </w:t>
            </w:r>
          </w:p>
        </w:tc>
        <w:tc>
          <w:tcPr>
            <w:tcW w:w="12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4113</w:t>
            </w:r>
          </w:p>
        </w:tc>
        <w:tc>
          <w:tcPr>
            <w:tcW w:w="1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Частка іншого сукупного доходу асоційованих і спільних підприємств </w:t>
            </w:r>
          </w:p>
        </w:tc>
        <w:tc>
          <w:tcPr>
            <w:tcW w:w="12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4114</w:t>
            </w:r>
          </w:p>
        </w:tc>
        <w:tc>
          <w:tcPr>
            <w:tcW w:w="1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Інший сукупний дохід </w:t>
            </w:r>
          </w:p>
        </w:tc>
        <w:tc>
          <w:tcPr>
            <w:tcW w:w="12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4116</w:t>
            </w:r>
          </w:p>
        </w:tc>
        <w:tc>
          <w:tcPr>
            <w:tcW w:w="1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Розподіл прибутку: </w:t>
            </w:r>
          </w:p>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Виплати власникам </w:t>
            </w:r>
          </w:p>
        </w:tc>
        <w:tc>
          <w:tcPr>
            <w:tcW w:w="12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4200</w:t>
            </w:r>
          </w:p>
        </w:tc>
        <w:tc>
          <w:tcPr>
            <w:tcW w:w="1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Спрямування прибутку до зареєстрованого капіталу  </w:t>
            </w:r>
          </w:p>
        </w:tc>
        <w:tc>
          <w:tcPr>
            <w:tcW w:w="12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4205</w:t>
            </w:r>
          </w:p>
        </w:tc>
        <w:tc>
          <w:tcPr>
            <w:tcW w:w="1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Відрахування до резервного </w:t>
            </w:r>
            <w:r>
              <w:rPr>
                <w:rFonts w:ascii="Times New Roman CYR" w:hAnsi="Times New Roman CYR" w:cs="Times New Roman CYR"/>
              </w:rPr>
              <w:lastRenderedPageBreak/>
              <w:t xml:space="preserve">капіталу </w:t>
            </w:r>
          </w:p>
        </w:tc>
        <w:tc>
          <w:tcPr>
            <w:tcW w:w="12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4210</w:t>
            </w:r>
          </w:p>
        </w:tc>
        <w:tc>
          <w:tcPr>
            <w:tcW w:w="1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 xml:space="preserve">Сума чистого прибутку, належна до бюджету відповідно до законодавства </w:t>
            </w:r>
          </w:p>
        </w:tc>
        <w:tc>
          <w:tcPr>
            <w:tcW w:w="12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4215</w:t>
            </w:r>
          </w:p>
        </w:tc>
        <w:tc>
          <w:tcPr>
            <w:tcW w:w="1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Сума чистого прибутку на створення спеціальних (цільових) фондів </w:t>
            </w:r>
          </w:p>
        </w:tc>
        <w:tc>
          <w:tcPr>
            <w:tcW w:w="12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4220</w:t>
            </w:r>
          </w:p>
        </w:tc>
        <w:tc>
          <w:tcPr>
            <w:tcW w:w="1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Сума чистого прибутку на матеріальне заохочення </w:t>
            </w:r>
          </w:p>
        </w:tc>
        <w:tc>
          <w:tcPr>
            <w:tcW w:w="12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4225</w:t>
            </w:r>
          </w:p>
        </w:tc>
        <w:tc>
          <w:tcPr>
            <w:tcW w:w="1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Внески учасників: </w:t>
            </w:r>
          </w:p>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Внески до капіталу </w:t>
            </w:r>
          </w:p>
        </w:tc>
        <w:tc>
          <w:tcPr>
            <w:tcW w:w="12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4240</w:t>
            </w:r>
          </w:p>
        </w:tc>
        <w:tc>
          <w:tcPr>
            <w:tcW w:w="1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Погашення заборгованості з капіталу </w:t>
            </w:r>
          </w:p>
        </w:tc>
        <w:tc>
          <w:tcPr>
            <w:tcW w:w="12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4245</w:t>
            </w:r>
          </w:p>
        </w:tc>
        <w:tc>
          <w:tcPr>
            <w:tcW w:w="1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Вилучення капіталу: </w:t>
            </w:r>
          </w:p>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Викуп акцій  </w:t>
            </w:r>
          </w:p>
        </w:tc>
        <w:tc>
          <w:tcPr>
            <w:tcW w:w="12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4260</w:t>
            </w:r>
          </w:p>
        </w:tc>
        <w:tc>
          <w:tcPr>
            <w:tcW w:w="1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Перепродаж викуплених акцій </w:t>
            </w:r>
          </w:p>
        </w:tc>
        <w:tc>
          <w:tcPr>
            <w:tcW w:w="12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4265</w:t>
            </w:r>
          </w:p>
        </w:tc>
        <w:tc>
          <w:tcPr>
            <w:tcW w:w="1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Анулювання викуплених акцій </w:t>
            </w:r>
          </w:p>
        </w:tc>
        <w:tc>
          <w:tcPr>
            <w:tcW w:w="12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4270</w:t>
            </w:r>
          </w:p>
        </w:tc>
        <w:tc>
          <w:tcPr>
            <w:tcW w:w="1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Вилучення частки в капіталі </w:t>
            </w:r>
          </w:p>
        </w:tc>
        <w:tc>
          <w:tcPr>
            <w:tcW w:w="12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4275</w:t>
            </w:r>
          </w:p>
        </w:tc>
        <w:tc>
          <w:tcPr>
            <w:tcW w:w="1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Зменшення номінальної вартості акцій </w:t>
            </w:r>
          </w:p>
        </w:tc>
        <w:tc>
          <w:tcPr>
            <w:tcW w:w="12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4280</w:t>
            </w:r>
          </w:p>
        </w:tc>
        <w:tc>
          <w:tcPr>
            <w:tcW w:w="1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Інші зміни в капіталі </w:t>
            </w:r>
          </w:p>
        </w:tc>
        <w:tc>
          <w:tcPr>
            <w:tcW w:w="12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4290</w:t>
            </w:r>
          </w:p>
        </w:tc>
        <w:tc>
          <w:tcPr>
            <w:tcW w:w="1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Придбання (продаж) неконтрольованої частки в дочірньому підприємстві </w:t>
            </w:r>
          </w:p>
        </w:tc>
        <w:tc>
          <w:tcPr>
            <w:tcW w:w="12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4291</w:t>
            </w:r>
          </w:p>
        </w:tc>
        <w:tc>
          <w:tcPr>
            <w:tcW w:w="1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Разом змін у капіталі  </w:t>
            </w:r>
          </w:p>
        </w:tc>
        <w:tc>
          <w:tcPr>
            <w:tcW w:w="12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4295</w:t>
            </w:r>
          </w:p>
        </w:tc>
        <w:tc>
          <w:tcPr>
            <w:tcW w:w="1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-299</w:t>
            </w:r>
          </w:p>
        </w:tc>
        <w:tc>
          <w:tcPr>
            <w:tcW w:w="15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-299</w:t>
            </w:r>
          </w:p>
        </w:tc>
      </w:tr>
      <w:tr w:rsidR="0077060C" w:rsidTr="00016A2D">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77060C" w:rsidRDefault="0077060C" w:rsidP="00016A2D">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Залишок на кінець року </w:t>
            </w:r>
          </w:p>
        </w:tc>
        <w:tc>
          <w:tcPr>
            <w:tcW w:w="12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4300</w:t>
            </w:r>
          </w:p>
        </w:tc>
        <w:tc>
          <w:tcPr>
            <w:tcW w:w="11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12 963</w:t>
            </w:r>
          </w:p>
        </w:tc>
        <w:tc>
          <w:tcPr>
            <w:tcW w:w="135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11 842</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2 291</w:t>
            </w:r>
          </w:p>
        </w:tc>
        <w:tc>
          <w:tcPr>
            <w:tcW w:w="12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-8 391</w:t>
            </w:r>
          </w:p>
        </w:tc>
        <w:tc>
          <w:tcPr>
            <w:tcW w:w="15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77060C" w:rsidRDefault="0077060C" w:rsidP="00016A2D">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18 705</w:t>
            </w:r>
          </w:p>
        </w:tc>
      </w:tr>
    </w:tbl>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Примітки: Непокритi збитки складають -8391.0 тис.грн</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Козун В.I.</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r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Лангазов Л.I.</w:t>
      </w: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rPr>
        <w:sectPr w:rsidR="0077060C">
          <w:pgSz w:w="16838" w:h="11906" w:orient="landscape"/>
          <w:pgMar w:top="570" w:right="720" w:bottom="570" w:left="720" w:header="708" w:footer="708" w:gutter="0"/>
          <w:cols w:space="720"/>
          <w:noEndnote/>
        </w:sect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rPr>
        <w:sectPr w:rsidR="0077060C">
          <w:pgSz w:w="16838" w:h="11906" w:orient="landscape"/>
          <w:pgMar w:top="570" w:right="720" w:bottom="570" w:left="720" w:header="708" w:footer="708" w:gutter="0"/>
          <w:cols w:space="720"/>
          <w:noEndnote/>
        </w:sectPr>
      </w:pPr>
    </w:p>
    <w:p w:rsidR="0077060C" w:rsidRDefault="0077060C" w:rsidP="0077060C">
      <w:pPr>
        <w:widowControl w:val="0"/>
        <w:autoSpaceDE w:val="0"/>
        <w:autoSpaceDN w:val="0"/>
        <w:adjustRightInd w:val="0"/>
        <w:spacing w:after="0" w:line="240" w:lineRule="auto"/>
        <w:jc w:val="both"/>
        <w:rPr>
          <w:rFonts w:ascii="Times New Roman CYR" w:hAnsi="Times New Roman CYR" w:cs="Times New Roman CYR"/>
        </w:rPr>
        <w:sectPr w:rsidR="0077060C">
          <w:pgSz w:w="16838" w:h="11906" w:orient="landscape"/>
          <w:pgMar w:top="570" w:right="720" w:bottom="570" w:left="720" w:header="708" w:footer="708" w:gutter="0"/>
          <w:cols w:space="720"/>
          <w:noEndnote/>
        </w:sect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rPr>
      </w:pPr>
    </w:p>
    <w:p w:rsidR="0077060C" w:rsidRDefault="0077060C" w:rsidP="0077060C">
      <w:pPr>
        <w:widowControl w:val="0"/>
        <w:autoSpaceDE w:val="0"/>
        <w:autoSpaceDN w:val="0"/>
        <w:adjustRightInd w:val="0"/>
        <w:spacing w:after="0" w:line="240" w:lineRule="auto"/>
        <w:rPr>
          <w:rFonts w:ascii="Times New Roman CYR" w:hAnsi="Times New Roman CYR" w:cs="Times New Roman CYR"/>
        </w:rPr>
      </w:pPr>
    </w:p>
    <w:p w:rsidR="00A34E24" w:rsidRPr="0077060C" w:rsidRDefault="00A34E24" w:rsidP="0077060C"/>
    <w:sectPr w:rsidR="00A34E24" w:rsidRPr="0077060C">
      <w:pgSz w:w="16838" w:h="11906" w:orient="landscape"/>
      <w:pgMar w:top="570" w:right="720" w:bottom="570" w:left="720" w:header="708" w:footer="708"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607682"/>
    <w:rsid w:val="00002102"/>
    <w:rsid w:val="00416E08"/>
    <w:rsid w:val="004A2FEB"/>
    <w:rsid w:val="005412A4"/>
    <w:rsid w:val="00607682"/>
    <w:rsid w:val="006A7153"/>
    <w:rsid w:val="0077060C"/>
    <w:rsid w:val="007777F0"/>
    <w:rsid w:val="007B1D2F"/>
    <w:rsid w:val="009B5CFD"/>
    <w:rsid w:val="00A34E24"/>
    <w:rsid w:val="00C67433"/>
    <w:rsid w:val="00CA349D"/>
    <w:rsid w:val="00CC2C36"/>
    <w:rsid w:val="00DA4CE7"/>
    <w:rsid w:val="00DC2707"/>
    <w:rsid w:val="00F740F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682"/>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48</Pages>
  <Words>68122</Words>
  <Characters>38830</Characters>
  <Application>Microsoft Office Word</Application>
  <DocSecurity>0</DocSecurity>
  <Lines>323</Lines>
  <Paragraphs>213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106739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2026-05-07T07:25:00Z</dcterms:created>
  <dcterms:modified xsi:type="dcterms:W3CDTF">2026-05-24T13:04:00Z</dcterms:modified>
</cp:coreProperties>
</file>