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351177" w:rsidTr="0047638F">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351177" w:rsidTr="0047638F">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351177" w:rsidTr="0047638F">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r>
      <w:tr w:rsidR="00351177" w:rsidTr="0047638F">
        <w:tblPrEx>
          <w:tblCellMar>
            <w:top w:w="0" w:type="dxa"/>
            <w:bottom w:w="0" w:type="dxa"/>
          </w:tblCellMar>
        </w:tblPrEx>
        <w:trPr>
          <w:trHeight w:val="300"/>
        </w:trPr>
        <w:tc>
          <w:tcPr>
            <w:tcW w:w="5230" w:type="dxa"/>
            <w:tcBorders>
              <w:top w:val="nil"/>
              <w:left w:val="nil"/>
              <w:bottom w:val="nil"/>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351177" w:rsidTr="0047638F">
        <w:tblPrEx>
          <w:tblCellMar>
            <w:top w:w="0" w:type="dxa"/>
            <w:bottom w:w="0" w:type="dxa"/>
          </w:tblCellMar>
        </w:tblPrEx>
        <w:trPr>
          <w:trHeight w:val="300"/>
        </w:trPr>
        <w:tc>
          <w:tcPr>
            <w:tcW w:w="10465" w:type="dxa"/>
            <w:tcBorders>
              <w:top w:val="nil"/>
              <w:left w:val="nil"/>
              <w:bottom w:val="nil"/>
              <w:right w:val="nil"/>
            </w:tcBorders>
            <w:vAlign w:val="bottom"/>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351177" w:rsidTr="0047638F">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351177" w:rsidTr="0047638F">
        <w:tblPrEx>
          <w:tblCellMar>
            <w:top w:w="0" w:type="dxa"/>
            <w:bottom w:w="0" w:type="dxa"/>
          </w:tblCellMar>
        </w:tblPrEx>
        <w:trPr>
          <w:trHeight w:val="200"/>
        </w:trPr>
        <w:tc>
          <w:tcPr>
            <w:tcW w:w="3415"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2019 рік</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загальних зборів акціонерів від 28.08.2025, за 2019 рiк</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351177" w:rsidTr="0047638F">
        <w:tblPrEx>
          <w:tblCellMar>
            <w:top w:w="0" w:type="dxa"/>
            <w:bottom w:w="0" w:type="dxa"/>
          </w:tblCellMar>
        </w:tblPrEx>
        <w:trPr>
          <w:trHeight w:val="300"/>
        </w:trPr>
        <w:tc>
          <w:tcPr>
            <w:tcW w:w="3415" w:type="dxa"/>
            <w:vMerge w:val="restart"/>
            <w:tcBorders>
              <w:top w:val="nil"/>
              <w:left w:val="nil"/>
              <w:bottom w:val="nil"/>
              <w:right w:val="nil"/>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24.05.2026</w:t>
            </w:r>
          </w:p>
        </w:tc>
      </w:tr>
      <w:tr w:rsidR="00351177" w:rsidTr="0047638F">
        <w:tblPrEx>
          <w:tblCellMar>
            <w:top w:w="0" w:type="dxa"/>
            <w:bottom w:w="0" w:type="dxa"/>
          </w:tblCellMar>
        </w:tblPrEx>
        <w:trPr>
          <w:trHeight w:val="300"/>
        </w:trPr>
        <w:tc>
          <w:tcPr>
            <w:tcW w:w="3415" w:type="dxa"/>
            <w:vMerge/>
            <w:tcBorders>
              <w:top w:val="nil"/>
              <w:left w:val="nil"/>
              <w:bottom w:val="nil"/>
              <w:right w:val="nil"/>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sectPr w:rsidR="00351177">
          <w:pgSz w:w="12240" w:h="15840"/>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вiдокремленi пiдроздiли в Товариствi вiдсутнi.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заповнюється через вiдсутнiсть емiсiї емiтентом цiльових корпоративних облiгацiй.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 Розкрито у  "Вiдомостi про набуття прямо або опосередковано особою (особами, що дiють спiльно) з урахуванням кiлькостi акцiй, якi належать їй та її афiлiйованим особам, домiнуючого контрольного пакета акцiй  (http://atp-12107.emitents.net.ua/ua/docs/?fg_id=101)</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2.Товариство подає лише рiчну (регулярну) iнформацiю емiтента (фiнансова звiтнiсть є невiдємною частиною регулярної iнформацii емiтента)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1.1.2.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В силу дiї обмежувальних заходiв у зв'язку з дiєю карантину на територiї України спричинений вiрусом KOVID 19  було неможливим проведення загальних зборiв акцiонерiв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1.1.3. Iнформацiя про збори власникiв облiгацiй та загальний опис прийнятих на таких зборах рiшень не заповнюється, у зв'язку iз вiдсутнiстю облiгацiй емiтента.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на товариствi не  затверджено.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1.1.13. Складова змiсту "Iнформацiя про радника" не включена до складу рiчної iнформацiї, так як в емiтента вiдсутнi радники..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 Складова змiсту. "Iнформацiя про наявнiсть в структурi власностi емiтента фiзичних осiб якi 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3.Складова змiсту " Дивiдентна полiтика" не включена до складу рiчної iнформацiї, так як емiтент не 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5.Складова змiсту "Перелiк посилань на внутрiшнi документи особи , що розмiщенi на веб-сайтi особи", </w:t>
      </w:r>
      <w:r>
        <w:rPr>
          <w:rFonts w:ascii="Times New Roman CYR" w:hAnsi="Times New Roman CYR" w:cs="Times New Roman CYR"/>
          <w:sz w:val="24"/>
          <w:szCs w:val="24"/>
        </w:rPr>
        <w:lastRenderedPageBreak/>
        <w:t>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навласному веб сайтi.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 .Складова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Зміна прав на акції</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Твердження щодо річної інформації</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VI. Список посилань на регульовану інформацію, яка була розкрита протягом звітного року</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sectPr w:rsidR="00351177">
          <w:pgSz w:w="12240" w:h="15840"/>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вул.Радiщева,2. Фактичне: 88015, Україна, Закарпатська обл., м.Ужгород, вул.Радiщева,2</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вул.Радiщева,2</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Середнє</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Мале</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239</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sectPr w:rsidR="00351177">
          <w:pgSz w:w="12240" w:h="15840"/>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Штрафні санкції щодо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200"/>
        <w:gridCol w:w="2200"/>
        <w:gridCol w:w="2200"/>
        <w:gridCol w:w="4400"/>
        <w:gridCol w:w="3850"/>
      </w:tblGrid>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Номер та дата рішення, яким накладено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Орган, який наклав штрафну санкцію</w:t>
            </w:r>
          </w:p>
        </w:tc>
        <w:tc>
          <w:tcPr>
            <w:tcW w:w="2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Суть санкції (та її розмір, якщо застосовується)</w:t>
            </w:r>
          </w:p>
        </w:tc>
        <w:tc>
          <w:tcPr>
            <w:tcW w:w="4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Підстава для накладення санкції (з посиланням на відповідні норми законодавства)</w:t>
            </w:r>
          </w:p>
        </w:tc>
        <w:tc>
          <w:tcPr>
            <w:tcW w:w="38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Інформація про виконання</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4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38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АО№126645</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12.06.2019</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 грн.</w:t>
            </w:r>
          </w:p>
        </w:tc>
        <w:tc>
          <w:tcPr>
            <w:tcW w:w="44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Адмiнiстративно-господарський штраф</w:t>
            </w:r>
          </w:p>
        </w:tc>
        <w:tc>
          <w:tcPr>
            <w:tcW w:w="38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24.06.2019р.</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АО№155524</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08.10.2019</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Управлiння Укртрансбезпеки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1700,00 грн.</w:t>
            </w:r>
          </w:p>
        </w:tc>
        <w:tc>
          <w:tcPr>
            <w:tcW w:w="44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Адмiнiстративно-господарський штраф</w:t>
            </w:r>
          </w:p>
        </w:tc>
        <w:tc>
          <w:tcPr>
            <w:tcW w:w="38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15.10.2019р.</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№00102656012</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28.03.2019</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ГУ ДФС України в Закарпатськiй областi</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розмiрi 11941,78 грн.</w:t>
            </w:r>
          </w:p>
        </w:tc>
        <w:tc>
          <w:tcPr>
            <w:tcW w:w="44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за несвоєчасну сплату ПДВ</w:t>
            </w:r>
          </w:p>
        </w:tc>
        <w:tc>
          <w:tcPr>
            <w:tcW w:w="38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Сплачена 02.04.2019р.</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№395-ЗХ-1-Е</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15.11.2019</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НКЦПФР у Захiдному регiонi</w:t>
            </w:r>
          </w:p>
        </w:tc>
        <w:tc>
          <w:tcPr>
            <w:tcW w:w="2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Штраф в сумi 850,00грн.</w:t>
            </w:r>
          </w:p>
        </w:tc>
        <w:tc>
          <w:tcPr>
            <w:tcW w:w="44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Фiнансова санкцiя за правопорушення на ринку цiнних паперiв</w:t>
            </w:r>
          </w:p>
        </w:tc>
        <w:tc>
          <w:tcPr>
            <w:tcW w:w="38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сплачено 27.11.2019р.</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sectPr w:rsidR="00351177">
          <w:pgSz w:w="16837" w:h="11905"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2. Органи управління та посадові особи. Організаційна структура</w:t>
      </w: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та члени наглядової ради в складi 3 осiб, з 19.04.2019р. - 2 особи</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голова НР</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Андрiй Володимирович до 19.04.2019р.</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sectPr w:rsidR="00351177">
          <w:pgSz w:w="12240" w:h="15840"/>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Тернопiльська Академiя народного господарства, економiст</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25</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ПАТта АТ "Ужгородське АТП-12107"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авторинку ринку</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 працює </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1754605868</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Пенсiонерка</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 до 19.04.2019р.</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Андрiй Володимирович</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УжНУ, iнженерно-технiчний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ПАТта  АТ "Ужгородське АТП-12107"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механiк</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w:t>
            </w:r>
            <w:r>
              <w:rPr>
                <w:rFonts w:ascii="Times New Roman CYR" w:hAnsi="Times New Roman CYR" w:cs="Times New Roman CYR"/>
                <w:sz w:val="20"/>
                <w:szCs w:val="20"/>
              </w:rPr>
              <w:lastRenderedPageBreak/>
              <w:t>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36</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351177" w:rsidTr="0047638F">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351177" w:rsidTr="0047638F">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0,438007</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0,18237</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Андрiй Володимирович (достроково припинено повноваження з 19.04.2019р.)</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1 338</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0,00258</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1 338</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31,1785</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351177" w:rsidTr="0047638F">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 (володння акцiями до 04.12.2019р.)</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14 203 537</w:t>
            </w:r>
          </w:p>
        </w:tc>
        <w:tc>
          <w:tcPr>
            <w:tcW w:w="162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27,3917</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14 203 537</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0"/>
          <w:szCs w:val="20"/>
        </w:rPr>
        <w:sectPr w:rsidR="00351177">
          <w:pgSz w:w="16837" w:h="11905"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(експлуатацiї) яких бiльше одного року та вартiсть яких бiльше 6000 грн. Земельнi дiлянки враховуються по переоцiненiй вартостi. Регулярнiсть переоцiнки залежить вiд змiни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справедливої вартостi активiв, якi переоцiнюються.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протязi  2019 р. переоцiнка вартостi земельних дiлянок не проводилась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через вiдсутнiсть суттєвих причин для її проведення.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Амортизацiя основних засобiв призначена для списання суми, що амортизується, впродовж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термiну корисного використання активу i розраховується з використанням прямолiнiйного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методу. Лiквiдацiйна вартiсть, термiни корисного використання i метод нарахування амортизацiї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передивляються на кiнець кожного фiнансового року. Вплив будь-яких змiн, що виникають вiд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оцiнок, зроблених в попереднi перiоди, враховується як змiна облiкової оцiнки. Iнвестицiйна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нерухомiсть первiсно оцiнюється за собiвартiстю, включаючи витрати на операцiю. Оцiнка пiсля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здiйснюється на основi моделi iсторичної собiвартостi. Нематерiальнi активи з</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кiнцевими термiнами використання, придбанi в рамках окремих операцiй, враховуються за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вартiстю придбання за вирахуванням накопиченої амортизацiї i накопиченого збитку вiд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знецiнення. Амортизацiя нараховується рiвномiрно протягом термiну корисного використання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нематерiальних активiв. Очiкуванi термiни корисного використання i метод нарахування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амортизацiї аналiзуються на кiнець кожного звiтного перiоду. Нематерiальнi активи, якi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виникають в результатi договiрних або iнших юридичних прав, амортизуються протягом термiну чинностi цих прав.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Оцiнка запасiв при вiдпуску у виробництво здiйснюється за методом iдентифiкованої собiвартостi, а пального - за методом середньозваженої собiвартостi. Середньозважена собiвартiсть одиницi запасiв (паливно-мастильних матерiалiв) розраховується один раз на мiсяць. В зв'язку з тим, що майже всi запаси використовуються для здiйснення автоперевезень i знаходяться на складi незначний час, пiдприємство не проводить їх переоцiнки.Незавершеного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виробництва на пiдприємствi немає.</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малоцiнних необоротнiх активiв вiдносяться активи з термiном корисного використаннябiльше одного року та вартiстю менше 6000грн. Амортизацiя по таких активах нараховується впершому мiсяцi використання об'єктiв у розмiрi 100 вiдсоткiв їх вартостi.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Грошовi кошти включають суму грошей в касi пiдприємства та на рахунках в банку.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 , визнається як фiнансовi активи та первiсно оцiнюються за справедливою вартiстю плюс вiдповiднi витрати на проведення операцiй. Вона включає в себе заборгованiсть за наданi та не оплаченi транспортнi послуги по замовленнях, поточну заборгованiсть за реалiзованi квитки автобусних станцiй та орендну плату за наданi в оренду основнi засоби. Якщо є об'єктивне свiдчення того, що вiдбувся збиток вiд зменшення корисностi, балансова вартiсть активу зменшується на суму таких збиткiв iз застосуванням рахунку резервiв. На Товариствi резерви створюються на основi iндивiдуальної оцiнки окремих дебiторiв.Резерв на покриття збиткiв вiд зменшення корисностi фiнансоваого активу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визначається як рiзниця мiж балансовою вартiстю та теперiшньою вартiстю очiкуванихмайбутнiх грошових потокiв.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 складається в основному за отриманi вiд постачальникiв та вчасно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 оплаченi пальне, запчастини та iншi витратнi матерiали, а також iз поточної заборгованостi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перед працiвниками по оплатi працi, та по сплатi поточних платежiв i податкiв в бюджет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соцiальнi фонди. Нереальної та простроченої заборгованостi по пiдприємству немає.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Доходи вiд поточної дiяльностi Товариства складаються з доходiв вiд надання рiзного виду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послуг. Їх величина визнається в розмiрi справедливої вартостi винагороди, отриманої або яка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пiдлягає отриманню, i являє собою суми до отримання за послуги, наданi в ходi звичайної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господарської дiяльностi, за вирахуванням податку на додану вартiсть (ПДВ). Дохiд вiд надання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автотранспортних послуг визнається по моменту фактичного виконання послуг за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встановленими тарифами ( по маршрутних перевезеннях- на дату реалiзацiї квиткiв на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пасажирiв , по перевезеннях на замовлення юридичних та фiзичних осiб - на дату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фактичного виконання замовлення та пiдприсання актiв виконаних робiт). Доходи вiд здачi 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оренду майна, надання послуг з передрейсових медоглядiв водiїв та техоглядiв автотранспорту,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стоянки автобусiв- визнаються з моменту пiдписання актiв приймання - передачi на виконанi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послуги. Iншi доходи (по авторечовому ринку i iн.) , а також отриманi на протязi року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бюджетнi субвенцiї на покриття збиткiв вiд перевезення пiльгових категорiй населення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визнаються по моменту отримання коштiв на поточнi рахунки в банку та в касу пiдприємства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Iнформацiя щодо продуктiв (товарiв або послуг) особи. Основний дохiд пiдприємство отримує вiд пасажирських автоперевезень. Частка чистого доходу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 надання послуг з пасажирських автоперевезень в складi всiх наданих послуг становить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2015р. - 21242,1тис.грн.(83,3%)</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2016р. - 25999,8тис.грн.(82,7%)</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2017р. - 29902,3тис.грн.(82,4%)</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2018р. - 33319,9тис.грн.(81,9%)</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2019р. -41316.0 тис.грн.(100%)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мiжнародних, в тому числi туристичних перевезень; розвиток мiських та примiських перевезень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пасажирiв автобусами великої мiсткостi; введення нового сервiсного обслуговування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приватного автотранспорту та розширення послуг по передрейсовому обслуговуваннi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технiчних оглядах автотранспорту iнших перевiзникiв; проведення дiагностики транспортних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засобiв; розширення спектру послуг на ринку.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8. Опис ризикiв, як притаманнi дiяльностi особи, пiдходи до управлiння ризиками, заходи особи щодо 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Дiяльнiсть емiтента не залежить вiд сезонних змiн.</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Для покращення дохiдностi вiд здiйснення автоперевезень планується проводити роботу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збiльшення нерегулярних та регулярних спецiальних, а також мiжнародних маршрутних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перевезень; придбання для цiєї мети нових автобусiв та залучення наявного автотранспорту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iнших перевiзникiв через оперативну оренду; проводити роботу по збiльшенню рентабельностi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закордонних перевезень. Товариство в 2019 роцi брало участь в конкурсах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продовження дiючих дозволiв на маршрутнi перевезення, а також розглядати можливiсть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вiдкриття нових мiжнародних маршрутiв.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продовжити реконструкцiю частини ремонтної бази з метою надання послуг</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 дiагностицi та технiчному обслуговуванюю автотранспорту фiзичних та юридичних осiб.</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Планується проводити роботу по покращенню благоустрою територiї на авторечовому ринку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збiльшити спектр послуг для фiзичних та юридичних осiб як на ринку, так i використовуючи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базу автотранспортного пiдприємства.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5 рокiв Товариством придбано 22 автобуси, 4 - з вiдновлювального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капiтального ремонту та 18 бувших в користуваннi, та проведено ряд робiт по капiтальному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ремонту кузовiв автобусiв та їх переобладнання.Загальна вартiсть придбання та модернiзацiї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транспортних засобiв становить 3736,1 тис.грн. за рахунок кредитних коштiв, внескiв iнвесторiв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 власних обiгових коштiв пiдприємства. Всього за 5 останнiх рокiв було придбано,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споруджено та проведено реконструкцiю основних засобiв на загальну суму 7388,4тис.грн.(без</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ПДВ) В 2018 роцi було проведено капiтальний ремонт площадки для стоянки автобусiв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транспортних засобiв, машин та обладнання на суму 789,7тис.грн. Джерелом</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фiнансування даного придбання, ремонтiв та переобладнання є власнi кошти пiдприємства.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2019роцi Товариство  здiйснили капiтальний ремонт дiючих автобусiв для здiйснення мiських перевезень, провести ремонт будiвель та споруд на територiї пiдприємтва i продовжити роботи по покращенню iнфраструктури ринку,використовуючи як кредитнi так i власнi кошти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w:t>
      </w:r>
      <w:r>
        <w:rPr>
          <w:rFonts w:ascii="Times New Roman CYR" w:hAnsi="Times New Roman CYR" w:cs="Times New Roman CYR"/>
          <w:sz w:val="24"/>
          <w:szCs w:val="24"/>
        </w:rPr>
        <w:lastRenderedPageBreak/>
        <w:t>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 в 2019роцi стало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:безвiзовий режим з країнами близького зарубiжжя, якi граничать з Закарпатською областю, що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привело до значної плинностi кадрiв на пiдприємствi, та на зменшення пасажиропотоку на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примiських та мiжмiських перевезеннях, в той же час вплив на збiльшення кiлькостi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нерегулярних (туристичних) перевезень був незначний, через низьку платоспроможнiсть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населення. Слiд вiдмiтити деяке збiльшення пасажиропотоку на регулярних маршрутних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мiжнародних перевезеннях.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Фiнансово-економiчними факторами, якi впливають на результати дiяльностi пiдприємства є</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значний рiвень iнфляцiї по всiх макроекономiчних показниках при майже незмiнних тарифах на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перевезення. Недобросовiсна конкуренцiя з боку приватних перевiзникiв, якi мають значно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нижче податкове навантаження теж значно впливає на зменшення дохiдностi пiдприємства.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оновлення рухомого складу (придбання нових автобусiв) значним стримуючим фактором є</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високi кредитнi ставки в фiнансових установах та вiдсутнiсть державних пiльгових програм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розвитку соцiальних видiв перевезень. На протязi 2019року внаслiдок часткового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компенсування втрат вiд перевезень пiльгових категорiй неселення по м.Ужгород мiсцевими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органами самоврядування, пiдприємство змогло придбати автобуси малої та середньої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мiсткостi, бувших у використаннi, якi задiяло для мiських перевезень громадян. В той же час</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iснує крайня необхiднiсть для придбання автобусiв середньої та великої мiсткостi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здiйснення мiських перевезень пасажирiв, проте при таких фiнансово-економiчних умовах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господарювання, якi були в 2018роцi, пiдприємство не в змозi виконати це завдання. В 2019</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iнвестицiйна полiтика пiдприємства теж в значнiй мiрi буде залежати вiд рiвня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вiдшкодування втрат вiд перевезень пiльгових категорiй населення та вiд пiдвищення тарифiв на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мiськi перевезення.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зумовлює великi витрати на ремонт та пiдтримання транспорту в робочому станi.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недостатня компенсацiя збиткiв вiд перевезення пiльгових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категорiй населення.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Середньооблiкова чисельнiсть штатних працiвникiв на пiдприємствi в 2018р. становила 231 чол.</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порiвняннi з 242 чол. за 2017р. Зменшення середньооблiкової чисельностi пов'язане iз плиннiстю кадрiв, в першу чергу на мiських маршрутах.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31.12.2018р. облiкова чисельнiсть штатних працiвникiв становила 231чол. Крiм того, в 2018р. на пiдприємствi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працювало 26 чол. зовнiшнiх сумiсникiв. Фонд оплати працi в 2018р. становив 12006,3 тис.грн.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9627,2тис.грн. за 2017р.;</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31.12.2019р. облiкова становила 239 чол. Зменшення середньооблiкової чисельностi пов'язане iз плиннiстю кадрiв, в першу чергу на мiських маршрутах. Фонд оплати працi в 2019р. становив 12622,0 тис.грн.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12006,3 тис.грн. за 2018р.;</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той же час, збiльшення вiдпрацьованого часу вiдбулось за рахунок збiльшення  кiлькостi виконаних рейсiв по маршрутних перевезеннях, в першу чергу в мiському режимi. На пiдприємствi постiйно проводиться перепiдготовка водiїв по БР, навчання по охоронi працi, перепiдготовка водiїв по мiжнародних перевезеннях, проводилось навчання водiїв по наданню первинної домедичної допомоги i т.д.</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Iнша iстотна iнформацiя для iнвесторiв вiдсутня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351177"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351177"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351177"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351177" w:rsidTr="0047638F">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351177" w:rsidTr="0047638F">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25 815</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24 593</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4 980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30 795</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28 859</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6 067</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5 715</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6 067</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5 715</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5 306</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4 367</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4 980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10 286</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8 633</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14 322</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25 815</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24 593</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4 980</w:t>
            </w:r>
          </w:p>
        </w:tc>
        <w:tc>
          <w:tcPr>
            <w:tcW w:w="10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4 266</w:t>
            </w:r>
          </w:p>
        </w:tc>
        <w:tc>
          <w:tcPr>
            <w:tcW w:w="12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30 795</w:t>
            </w:r>
          </w:p>
        </w:tc>
        <w:tc>
          <w:tcPr>
            <w:tcW w:w="1082"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28 859</w:t>
            </w:r>
          </w:p>
        </w:tc>
      </w:tr>
      <w:tr w:rsidR="00351177" w:rsidTr="0047638F">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Крiм основних засобiв на балансi Товариства знаходяться три земельнi дiлянки -1) 3,3га. 2) 6,9га.3) 0,3га  Вартiсть землi визначена за справедливою</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вартiстю. Данi земельнi дiлянки було придбано за рахунок коштiв iнвесторiв. Станом на 31.12..2019р. основних засобiв, оформлених в заставу (при отриманнi кредиту) немає. Обмеження в використаннi iнших основних засобiв немає. Переданi в оперативну оренду основнi засоби залишковою вартiстю 2806,0тис.грн.- це нерухоме майно ,торговi мiсця та виробничi площi, якi не використовуються. Взятi в операцiйну оренду 73 автобуси для мiських, примiських та мiжмiських перевезень вартiстю 7140,0тис.грн. (залишкова вартiсть - 4980,0тис.грн.). Станом на 01.01.19р. зношенiсть власних основних</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засобiв становить :</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 будiвлях i спорудах -,% зносу - 50,8%,</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 транспортних засобах -,% зносу - 62,9%,</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 по машинах,обладнанню, приладах та iнструментах - ,% зносу - </w:t>
            </w:r>
            <w:r>
              <w:rPr>
                <w:rFonts w:ascii="Times New Roman CYR" w:hAnsi="Times New Roman CYR" w:cs="Times New Roman CYR"/>
              </w:rPr>
              <w:lastRenderedPageBreak/>
              <w:t>79,1%,</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по iнших основних засобах - % зносу - 88,5%. Iнвестицiйна робота на пiдприємствi буде i в подальшому направлена на оновлення транспортних засобiв та покращення iнфраструктури на ринку, зокрема планується в 2020 роцi придбати кiлька нових автобусiв великої мiсткостi для використання на мiських перевезеннях</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351177"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351177"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r>
      <w:tr w:rsidR="00351177"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351177"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351177"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144</w:t>
            </w:r>
          </w:p>
        </w:tc>
      </w:tr>
      <w:tr w:rsidR="00351177" w:rsidTr="0047638F">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97</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r>
      <w:tr w:rsidR="00351177" w:rsidTr="0047638F">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Висновок</w:t>
            </w:r>
          </w:p>
        </w:tc>
        <w:tc>
          <w:tcPr>
            <w:tcW w:w="8740" w:type="dxa"/>
            <w:gridSpan w:val="3"/>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Вартiсть чистих активiв товариства  вiдповiдає чинному законодавству, </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Вартiсть чистих активiв розрахована в вiдповiдностi з Методичними рекомендацiями щодо визначення вартостi чистих активiв АТ, схвалених Рiшенням КЦПФР вiд</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17.11.2004р. за №488</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_________________________________________________________________________________</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351177" w:rsidTr="0047638F">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351177" w:rsidTr="0047638F">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351177" w:rsidTr="0047638F">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c>
          <w:tcPr>
            <w:tcW w:w="194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76018, Iвано-Франкiвська обл., д/н р-н, м.Iвано-Франкiвськ, площа Мiцкевича, буд.6,офiс 5</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Основні види діяльності із зазначенням їх найменування та </w:t>
            </w:r>
            <w:r>
              <w:rPr>
                <w:rFonts w:ascii="Times New Roman CYR" w:hAnsi="Times New Roman CYR" w:cs="Times New Roman CYR"/>
              </w:rPr>
              <w:lastRenderedPageBreak/>
              <w:t>коду за КВЕД</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63,11 - Надання iнфраструктури для </w:t>
            </w:r>
            <w:r>
              <w:rPr>
                <w:rFonts w:ascii="Times New Roman CYR" w:hAnsi="Times New Roman CYR" w:cs="Times New Roman CYR"/>
              </w:rPr>
              <w:lastRenderedPageBreak/>
              <w:t>розмiщення (хостингу), оброблення даних i пов'язану iз цим дiяльнiсть</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Вид послуг, які надає особа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351177" w:rsidTr="0047638F">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sectPr w:rsidR="00351177">
          <w:pgSz w:w="12240" w:h="15840"/>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351177" w:rsidTr="0047638F">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351177" w:rsidTr="0047638F">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351177" w:rsidTr="0047638F">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 акцiї</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sectPr w:rsidR="00351177">
          <w:pgSz w:w="16837" w:h="11905"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2. Зміна прав на акції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http://atp-12107.emitents.net.ua/ua/docs/?fg_id=101</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sectPr w:rsidR="00351177">
          <w:pgSz w:w="12240" w:h="15840"/>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lastRenderedPageBreak/>
        <w:t>3. Цінні папери</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351177" w:rsidTr="0047638F">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351177" w:rsidTr="0047638F">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351177" w:rsidTr="0047638F">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351177" w:rsidTr="0047638F">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наявність у власності працівників особи акцій у розмірі понад 0,1 % розміру статутного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2000"/>
        <w:gridCol w:w="2000"/>
        <w:gridCol w:w="2000"/>
        <w:gridCol w:w="2000"/>
        <w:gridCol w:w="1700"/>
        <w:gridCol w:w="1700"/>
      </w:tblGrid>
      <w:tr w:rsidR="00351177" w:rsidTr="0047638F">
        <w:tblPrEx>
          <w:tblCellMar>
            <w:top w:w="0" w:type="dxa"/>
            <w:bottom w:w="0" w:type="dxa"/>
          </w:tblCellMar>
        </w:tblPrEx>
        <w:trPr>
          <w:trHeight w:val="300"/>
        </w:trPr>
        <w:tc>
          <w:tcPr>
            <w:tcW w:w="4000" w:type="dxa"/>
            <w:vMerge w:val="restart"/>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за типами акцій</w:t>
            </w:r>
          </w:p>
        </w:tc>
      </w:tr>
      <w:tr w:rsidR="00351177" w:rsidTr="0047638F">
        <w:tblPrEx>
          <w:tblCellMar>
            <w:top w:w="0" w:type="dxa"/>
            <w:bottom w:w="0" w:type="dxa"/>
          </w:tblCellMar>
        </w:tblPrEx>
        <w:trPr>
          <w:trHeight w:val="300"/>
        </w:trPr>
        <w:tc>
          <w:tcPr>
            <w:tcW w:w="4000" w:type="dxa"/>
            <w:vMerge/>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прості іменні</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привілейовані іменні</w:t>
            </w:r>
          </w:p>
        </w:tc>
      </w:tr>
      <w:tr w:rsidR="00351177"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7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7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351177"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  -директор</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0,438007</w:t>
            </w:r>
          </w:p>
        </w:tc>
        <w:tc>
          <w:tcPr>
            <w:tcW w:w="1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17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 директор ринку</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31,1785</w:t>
            </w:r>
          </w:p>
        </w:tc>
        <w:tc>
          <w:tcPr>
            <w:tcW w:w="1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17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Лангазов Людмила Iванiвна -головний бухгалтер</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0,182373</w:t>
            </w:r>
          </w:p>
        </w:tc>
        <w:tc>
          <w:tcPr>
            <w:tcW w:w="1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17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Папазов Олександр Анатолiйович  "Механiк КТП"</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0,13349</w:t>
            </w:r>
          </w:p>
        </w:tc>
        <w:tc>
          <w:tcPr>
            <w:tcW w:w="1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17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Усього</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31,93237</w:t>
            </w:r>
          </w:p>
        </w:tc>
        <w:tc>
          <w:tcPr>
            <w:tcW w:w="1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17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351177"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Дата </w:t>
            </w:r>
            <w:r>
              <w:rPr>
                <w:rFonts w:ascii="Times New Roman CYR" w:hAnsi="Times New Roman CYR" w:cs="Times New Roman CYR"/>
              </w:rPr>
              <w:lastRenderedPageBreak/>
              <w:t>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Номер свідоцтва </w:t>
            </w:r>
            <w:r>
              <w:rPr>
                <w:rFonts w:ascii="Times New Roman CYR" w:hAnsi="Times New Roman CYR" w:cs="Times New Roman CYR"/>
              </w:rPr>
              <w:lastRenderedPageBreak/>
              <w:t>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Міжнародний </w:t>
            </w:r>
            <w:r>
              <w:rPr>
                <w:rFonts w:ascii="Times New Roman CYR" w:hAnsi="Times New Roman CYR" w:cs="Times New Roman CYR"/>
              </w:rPr>
              <w:lastRenderedPageBreak/>
              <w:t>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Кількість акцій у </w:t>
            </w:r>
            <w:r>
              <w:rPr>
                <w:rFonts w:ascii="Times New Roman CYR" w:hAnsi="Times New Roman CYR" w:cs="Times New Roman CYR"/>
              </w:rPr>
              <w:lastRenderedPageBreak/>
              <w:t>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Загальна </w:t>
            </w:r>
            <w:r>
              <w:rPr>
                <w:rFonts w:ascii="Times New Roman CYR" w:hAnsi="Times New Roman CYR" w:cs="Times New Roman CYR"/>
              </w:rPr>
              <w:lastRenderedPageBreak/>
              <w:t>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Загальна </w:t>
            </w:r>
            <w:r>
              <w:rPr>
                <w:rFonts w:ascii="Times New Roman CYR" w:hAnsi="Times New Roman CYR" w:cs="Times New Roman CYR"/>
              </w:rPr>
              <w:lastRenderedPageBreak/>
              <w:t>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Кількість </w:t>
            </w:r>
            <w:r>
              <w:rPr>
                <w:rFonts w:ascii="Times New Roman CYR" w:hAnsi="Times New Roman CYR" w:cs="Times New Roman CYR"/>
              </w:rPr>
              <w:lastRenderedPageBreak/>
              <w:t>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Кількість голосуючих </w:t>
            </w:r>
            <w:r>
              <w:rPr>
                <w:rFonts w:ascii="Times New Roman CYR" w:hAnsi="Times New Roman CYR" w:cs="Times New Roman CYR"/>
              </w:rPr>
              <w:lastRenderedPageBreak/>
              <w:t>акцій, права голосу за якими за результатами обмеження таких прав передано іншій особі, шт.</w:t>
            </w:r>
          </w:p>
        </w:tc>
      </w:tr>
      <w:tr w:rsidR="00351177"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1</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351177"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49 533 935</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2 319 573</w:t>
            </w:r>
          </w:p>
        </w:tc>
        <w:tc>
          <w:tcPr>
            <w:tcW w:w="28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Характеристика обмеження: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sectPr w:rsidR="00351177">
          <w:pgSz w:w="16837" w:h="11905"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351177" w:rsidTr="0047638F">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351177" w:rsidTr="0047638F">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351177" w:rsidTr="0047638F">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41316</w:t>
            </w:r>
          </w:p>
        </w:tc>
        <w:tc>
          <w:tcPr>
            <w:tcW w:w="29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Голова наглядової ради у звiтньому роцi до акцiонерiв та iнших стейкхолдерiв не звертався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велику зношенiсть рухомого складу та потребує його оновлення. Проте для придбання нових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АТ "Ужгородське автотранспортне пiдприємство 12107" - акцiонерне товариство , основною</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землекористування пiд розширення пiдприємства було створено авторечовий ринок, який на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являється значним фактором для зменшення прибутковостi вiд перевезень. Товариство має</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Відповідність практики </w:t>
            </w:r>
            <w:r>
              <w:rPr>
                <w:rFonts w:ascii="Times New Roman CYR" w:hAnsi="Times New Roman CYR" w:cs="Times New Roman CYR"/>
                <w:sz w:val="24"/>
                <w:szCs w:val="24"/>
              </w:rPr>
              <w:lastRenderedPageBreak/>
              <w:t>(Так/Ні)</w:t>
            </w:r>
          </w:p>
        </w:tc>
        <w:tc>
          <w:tcPr>
            <w:tcW w:w="45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Опис наявної практики/обґрунтування відхилення</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Цілі особи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виключно Законом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Товариства передбачена така можливiсть.</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Біографічні дані про кандидатів до </w:t>
            </w:r>
            <w:r>
              <w:rPr>
                <w:rFonts w:ascii="Times New Roman CYR" w:hAnsi="Times New Roman CYR" w:cs="Times New Roman CYR"/>
                <w:sz w:val="24"/>
                <w:szCs w:val="24"/>
              </w:rPr>
              <w:lastRenderedPageBreak/>
              <w:t>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Вказанi данi розкриваються на запит </w:t>
            </w:r>
            <w:r>
              <w:rPr>
                <w:rFonts w:ascii="Times New Roman CYR" w:hAnsi="Times New Roman CYR" w:cs="Times New Roman CYR"/>
                <w:sz w:val="24"/>
                <w:szCs w:val="24"/>
              </w:rPr>
              <w:lastRenderedPageBreak/>
              <w:t>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взаємодія з акціонерами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Створено відділ (функцію) з питань взаємодії з </w:t>
            </w:r>
            <w:r>
              <w:rPr>
                <w:rFonts w:ascii="Times New Roman CYR" w:hAnsi="Times New Roman CYR" w:cs="Times New Roman CYR"/>
                <w:sz w:val="24"/>
                <w:szCs w:val="24"/>
              </w:rPr>
              <w:lastRenderedPageBreak/>
              <w:t>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поглинання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Наглядова рада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Кiлькiсть членiв наглядової ради емiтента, присутнiх на її засiданнi, зазначається в протоколi наглядової ради. Комiтети наглядовою радою </w:t>
            </w:r>
            <w:r>
              <w:rPr>
                <w:rFonts w:ascii="Times New Roman CYR" w:hAnsi="Times New Roman CYR" w:cs="Times New Roman CYR"/>
                <w:sz w:val="24"/>
                <w:szCs w:val="24"/>
              </w:rPr>
              <w:lastRenderedPageBreak/>
              <w:t>емiтента не створювалися.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Зазначенi вимоги Статутом Товариства та/або внутрiшнiми положеннями не 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роки.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Процедура відбору передбачає </w:t>
            </w:r>
            <w:r>
              <w:rPr>
                <w:rFonts w:ascii="Times New Roman CYR" w:hAnsi="Times New Roman CYR" w:cs="Times New Roman CYR"/>
                <w:sz w:val="24"/>
                <w:szCs w:val="24"/>
              </w:rPr>
              <w:lastRenderedPageBreak/>
              <w:t>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обов'язки, функції і сфери відповідальності членів наглядової ради;</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Проходження вступного тренiнгу членами Наглядової ради псля їх обрання не передбачено внутрiшнiм документами Товариства.Члени Наглядової ради самостiйно ознайомлюються з документами та порядком роботи.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Голові наглядової ради забезпечено можливість для комунікації з 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 заборонена комунiкацiя Голови Наглядової ради з акцiонерами, у тому числi - мажоритарними.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1) комітети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ключових показникiв ефективностi не здiйснюється, оскiльки це не є необхiдним.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регулярно звітує Наглядовій раді про прогрес у 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Виконавчого органу розробка стратегiї особи не входить. На засiданнях наглядової ради виконавчий орган звiтує про результати фiнансово-господарської дiяльностi Товариства.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6. Винагорода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на безоплатнiй основi. Винагорода вiдсутня.</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Окремий роздiл не створено, який присвячено виключно питанням корпоративного управлiння.</w:t>
            </w: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Система контролю і стандарти етики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створена система внутрішнього контролю, яка 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створена.Наглядова рада забезпечує функцiонування належної системи контролю, а також здiйснення стратегiчного контролю за фiнансово-господарською дiяльнiстю Товариства;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інсайдерської торгівлі; та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Оцінка корпоративного управління</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формалізована процедура 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Емiтент не провадить практику 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За результатами щорічної самооцінки членів ради </w:t>
            </w:r>
            <w:r>
              <w:rPr>
                <w:rFonts w:ascii="Times New Roman CYR" w:hAnsi="Times New Roman CYR" w:cs="Times New Roman CYR"/>
                <w:sz w:val="24"/>
                <w:szCs w:val="24"/>
              </w:rPr>
              <w:lastRenderedPageBreak/>
              <w:t>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Статутом та внутрiшнiми документами Товариства не передбачено розробка </w:t>
            </w:r>
            <w:r>
              <w:rPr>
                <w:rFonts w:ascii="Times New Roman CYR" w:hAnsi="Times New Roman CYR" w:cs="Times New Roman CYR"/>
                <w:sz w:val="24"/>
                <w:szCs w:val="24"/>
              </w:rPr>
              <w:lastRenderedPageBreak/>
              <w:t>плану дiй для пiдвищення ефективностi роботи Наглядової ради, оскiльки це не є необхiдним.</w:t>
            </w:r>
          </w:p>
        </w:tc>
      </w:tr>
      <w:tr w:rsidR="00351177" w:rsidTr="0047638F">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351177" w:rsidTr="0047638F">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ab/>
              <w:t>Голова / член комітету ради</w:t>
            </w:r>
          </w:p>
        </w:tc>
      </w:tr>
      <w:tr w:rsidR="00351177" w:rsidTr="0047638F">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- 3</w:t>
            </w: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МиколайовичМиколайович</w:t>
            </w: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Андрiйвна</w:t>
            </w: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Андрiй Володимирочич ( припинено повноваження 19.04.2019р.)</w:t>
            </w: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проведені засідання ради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8000"/>
      </w:tblGrid>
      <w:tr w:rsidR="00351177"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Кількість засідань ради у звітному періоді:</w:t>
            </w:r>
          </w:p>
        </w:tc>
        <w:tc>
          <w:tcPr>
            <w:tcW w:w="8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351177"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них очних:</w:t>
            </w:r>
          </w:p>
        </w:tc>
        <w:tc>
          <w:tcPr>
            <w:tcW w:w="8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351177"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них заочних:</w:t>
            </w:r>
          </w:p>
        </w:tc>
        <w:tc>
          <w:tcPr>
            <w:tcW w:w="8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351177" w:rsidTr="0047638F">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ради:</w:t>
            </w:r>
          </w:p>
        </w:tc>
        <w:tc>
          <w:tcPr>
            <w:tcW w:w="8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Щодо дострокового припинення повноважень члена НР Козун А.В.</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Товариства  здiйснює управлiння Товариством, а також контролює та регулює дiяльнiсть виконавчого органу - Директора. В звiтному перiодi дiяльнiсть Наглядової ради спрямовувалась на забезпечення роботи Товариства пiд час воєнного стану, в умовах невизначеностi, нестабiльної роботи енергосистеми, низької платоспроможностi населення, у зв'язку з вiйськовою агресiєю росiйської федерацiї. У звiтному перiодi Наглядова рада не здiйснювала будь-яких заходiв, що мали суттєвий вплив на фiнансове становище Товариства. Члени Наглядової ради цiлком компетентнi в питаннях, покладених на Наглядову раду в межах Статуту Товариства та Положення Про Наглядову Раду. Члени Наглядової ради незалежнi в прийняттi будь-яких рiшень. Наглядова рада не має комiтетiв. Наглядова рада повнiстю виконує свої обов'язки в межах Статуту Товариства та Положення Про Наглядову Раду. Наглядова рада має просту структуру без утворення комiтетiв. Рiшення приймаються на засiданнях Наглядової ради, якi скликаються по мiрi необхiдностi  i i приймаються бiльшiстю голосiв членiв Наглядової ради.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27.04.2018р. термiн повноважень 5 рокiв.</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заступника(ів)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виконавчий орган"Товариства.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Рiшення, прийнятi протягом року, мали переважно оперативний i стабiлiзацiйний характер.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iснуючих умовах господарювання в умовах воєнного стану, у зв'язку з вiйськовою агресiєю росiйської федерацiї проти України, неможливо впевнено робити навiть короткостроковi прогнози чи детальнi плани щодо дiяльностi пiдприємства.</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(директора) вiдсутня.</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першої лiнiї захисту.</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У Товариствi не створена системи внутрiшнього контролю. Звiт системи внутрiшнього контролю не складався i не затверджувався.</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Назва органу, який прийняв </w:t>
            </w:r>
            <w:r>
              <w:rPr>
                <w:rFonts w:ascii="Times New Roman CYR" w:hAnsi="Times New Roman CYR" w:cs="Times New Roman CYR"/>
                <w:sz w:val="24"/>
                <w:szCs w:val="24"/>
              </w:rPr>
              <w:lastRenderedPageBreak/>
              <w:t>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Декларацiя схильностi до ризикiв вiдсутня.</w:t>
            </w:r>
          </w:p>
        </w:tc>
      </w:tr>
      <w:tr w:rsidR="00351177" w:rsidTr="0047638F">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c>
          <w:tcPr>
            <w:tcW w:w="17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31,179</w:t>
            </w: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Лакуста Ярослав Васильович</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36,956</w:t>
            </w: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 (до 04.12.2019р.)</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27,392</w:t>
            </w:r>
          </w:p>
        </w:tc>
      </w:tr>
      <w:tr w:rsidR="00351177" w:rsidTr="0047638F">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Крiстна Юлiївна  ( з 04.12.2019р.)</w:t>
            </w: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27,392</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ключових стейкхолдерів, на яких має вплив діяльність особи із зазначенням обґрунтування в чому саме полягає такий вплив:</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Акцiонер Товариства, який володiє контрольним пакетом акцiй для прийняття рiшення на </w:t>
            </w:r>
            <w:r>
              <w:rPr>
                <w:rFonts w:ascii="Times New Roman CYR" w:hAnsi="Times New Roman CYR" w:cs="Times New Roman CYR"/>
                <w:sz w:val="24"/>
                <w:szCs w:val="24"/>
              </w:rPr>
              <w:lastRenderedPageBreak/>
              <w:t>загальних зборах акцiонерiв.</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7</w:t>
            </w: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щодо взаємодії зі стейкхолдерами, у тому числі акціонерами/учасниками:</w:t>
            </w:r>
          </w:p>
        </w:tc>
      </w:tr>
      <w:tr w:rsidR="00351177" w:rsidTr="0047638F">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VI. Список посилань на регульовану інформацію, яка була розкрита протягом звітного року</w:t>
      </w:r>
    </w:p>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Особлива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особливої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URL-адреси, за якими розміщена інформація, яка розкривалася протягом звітного року</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Згiдно рiшення Наглядової ради товариства (протокол №1 вiд 19.04.2019 року) достроково припинено повноваження члена Наглядової ради товариства Козун Андрiя Володимировича з 19.04.2019р. за власним бажанням, на пiдставi отриманої вiд нього заяви. На данiй посадi перебував з 20.01.2015р. Володiє 1338 акцiями товариства, що становить 0,00258% статутного капiталу Товариства. Посадова особа не надала згоди на оприлюднення персональних паспортних даних. Непогашеної судимостi за корисливi та службовi злочини не має.</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посаду члена наглядової ради нiкого не призначено, обрання нового члена наглядової ради вiдбудеться на наступних загальних зборах акцiонерiв.</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22.04.2019</w:t>
            </w:r>
          </w:p>
        </w:tc>
        <w:tc>
          <w:tcPr>
            <w:tcW w:w="5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http://atp-12107.emitents.net.ua/ua/docs/?fg_id=101</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Відомості про набуття прямо або опосередковано особою (особами, що </w:t>
            </w:r>
            <w:r>
              <w:rPr>
                <w:rFonts w:ascii="Times New Roman CYR" w:hAnsi="Times New Roman CYR" w:cs="Times New Roman CYR"/>
              </w:rPr>
              <w:lastRenderedPageBreak/>
              <w:t>діють спільно) з урахуванням кількості акцій, які належать їй та її афілійованим особам, домінуючого контрольного пакета акцій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05.12.2019 р. отримало вiд Шкрiбляка Андрiя Миколайовича, який є уповноваженою особою, що дiє на пiдставi договору про реалiзацiю прав за акцiями вiд</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 грудня 2019 року, укладеним мiж Ваган Крiстiною Юлiївною, Лакустою Ярославом Васильовичем та Шкрiбляком Андрiєм Миколайовичем про те, що 04 грудня 2019</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року Ваган Крiстiною Юлiївною було набуто 14 203 537 (чотирнадцять мiльйонiв двiстi три тисячi п'ятсот тридцять сiм) штук простих iменних акцiй Товариства. Також,</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Крiстiною Юлiївною, Лакустою Ярославом Васильовичем та Шкрiбляком Андрiєм Миколайовичем 04 грудня 2019 року було укладено договiр про реалiзацiю прав</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за акцiями, таким чином, особами, що дiють спiльно, було набуто право власностi на домiнуючий контрольний пакет акцiй Товариства у розмiрi 49 533 935 (сорок дев'ять мiльйонiв п'ятсот тридцять три тисячi дев'ятсот тридцять п'ять) штук простих iменних акцiй Товариства, що </w:t>
            </w:r>
            <w:r>
              <w:rPr>
                <w:rFonts w:ascii="Times New Roman CYR" w:hAnsi="Times New Roman CYR" w:cs="Times New Roman CYR"/>
              </w:rPr>
              <w:lastRenderedPageBreak/>
              <w:t>становить 95,526681% вiд загальної кiлькостi розмiщених</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Товариством простих iменних акцiй. До дати набуття домiнуючого контрольного пакету акцiй, особи, що дiють спiльно, володiли часткою у розмiрi 68,13502% вiд</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загальної кiлькостi акцiй.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Найвища цiна акцiї, за якою особи, що дiють спiльно, прямо придбавали акцiї Товариства протягом 12 мiсяцiв, що передують датi набуття домiнуючого контрольного</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пакета акцiй включно з датою набуття становить 0,01 грн. (нуль гривень одна копiйка) за одну акцiю. Особи, що дiють спiльно, протягом 12 мiсяцiв, що передують датi</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набуття домiнуючого контрольного пакета акцiй, включно з датою набуття опосередковано не придбавали акцiї Товариства.</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набуття особами, що дiють спiльно, домiнуючого контрольного пакета акцiй Товариства: 04 грудня 2019 року.</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Розмiр частки власникiв акцiй в загальнiй кiлькостi акцiй до i пiсля набуття право власностi на домiнуючий контрольний пакет акцiй: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 розмiр частки Ваган Крiстiни Юлiївни до набуття - 0%, пiсля набуття - 27,391661% вiд загальної кiлькостi </w:t>
            </w:r>
            <w:r>
              <w:rPr>
                <w:rFonts w:ascii="Times New Roman CYR" w:hAnsi="Times New Roman CYR" w:cs="Times New Roman CYR"/>
              </w:rPr>
              <w:lastRenderedPageBreak/>
              <w:t>простих iменних акцiй Товариства; розмiр частки в загальнiй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кiлькостi голосуючих акцiй до змiн розмiру пакету акцiй - 0%; iнформацiї про розмiр частки в загальнiй кiлькостi голосуючих акцiй пiсля змiни розмiру пакету немає в</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наявностi;</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розмiр частки Лакусти Ярослава Васильовича до i пiсля набуття - 36,95646% вiд загальної кiлькостi простих iменних акцiй Товариства; розмiр частки в загальнiй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кiлькостi голосуючих акцiй до та пiсля змiни розмiру пакету немає в наявностi;</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розмiр частки Шкрiбляка Андрiя Миколайовича до i пiсля набуття - 31,17856% вiд загальної кiлькостi простих iменних акцiй Товариства; розмiр частки в загальнiй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кiлькостi голосуючих акцiй до та пiсля змiни розмiру пакету немає в наявностi.</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06.12.2019</w:t>
            </w:r>
          </w:p>
        </w:tc>
        <w:tc>
          <w:tcPr>
            <w:tcW w:w="5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http://atp-12107.emitents.net.ua/ua/docs/?fg_id=101</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b/>
          <w:bCs/>
          <w:i/>
          <w:iCs/>
          <w:sz w:val="24"/>
          <w:szCs w:val="24"/>
        </w:rPr>
      </w:pPr>
      <w:r>
        <w:rPr>
          <w:rFonts w:ascii="Times New Roman CYR" w:hAnsi="Times New Roman CYR" w:cs="Times New Roman CYR"/>
          <w:b/>
          <w:bCs/>
          <w:i/>
          <w:iCs/>
          <w:sz w:val="24"/>
          <w:szCs w:val="24"/>
        </w:rPr>
        <w:t>3. Інша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1500"/>
        <w:gridCol w:w="5500"/>
      </w:tblGrid>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іншої інформації</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розкриття інформації</w:t>
            </w:r>
          </w:p>
        </w:tc>
        <w:tc>
          <w:tcPr>
            <w:tcW w:w="55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URL-адреси, за якими розміщена інформація, яка розкривалася протягом звітного року</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5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5500"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4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Повідомлення про викуп акцій понад порогові значення пакета акцій</w:t>
            </w: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Повiдомлення про набуття домiнуючого контрольного пакету акцiй  АТ "Ужгородське АТП 12107"</w:t>
            </w:r>
          </w:p>
        </w:tc>
        <w:tc>
          <w:tcPr>
            <w:tcW w:w="15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06.12.2019</w:t>
            </w:r>
          </w:p>
        </w:tc>
        <w:tc>
          <w:tcPr>
            <w:tcW w:w="55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http://atp-12107.emitents.net.ua/ua/docs/?fg_id=102</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sectPr w:rsidR="00351177">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351177" w:rsidTr="0047638F">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51177" w:rsidTr="0047638F">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351177" w:rsidTr="0047638F">
        <w:tblPrEx>
          <w:tblCellMar>
            <w:top w:w="0" w:type="dxa"/>
            <w:bottom w:w="0" w:type="dxa"/>
          </w:tblCellMar>
        </w:tblPrEx>
        <w:trPr>
          <w:trHeight w:val="298"/>
        </w:trPr>
        <w:tc>
          <w:tcPr>
            <w:tcW w:w="216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351177" w:rsidTr="0047638F">
        <w:tblPrEx>
          <w:tblCellMar>
            <w:top w:w="0" w:type="dxa"/>
            <w:bottom w:w="0" w:type="dxa"/>
          </w:tblCellMar>
        </w:tblPrEx>
        <w:trPr>
          <w:trHeight w:val="298"/>
        </w:trPr>
        <w:tc>
          <w:tcPr>
            <w:tcW w:w="216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351177" w:rsidTr="0047638F">
        <w:tblPrEx>
          <w:tblCellMar>
            <w:top w:w="0" w:type="dxa"/>
            <w:bottom w:w="0" w:type="dxa"/>
          </w:tblCellMar>
        </w:tblPrEx>
        <w:trPr>
          <w:trHeight w:val="298"/>
        </w:trPr>
        <w:tc>
          <w:tcPr>
            <w:tcW w:w="216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351177" w:rsidTr="0047638F">
        <w:tblPrEx>
          <w:tblCellMar>
            <w:top w:w="0" w:type="dxa"/>
            <w:bottom w:w="0" w:type="dxa"/>
          </w:tblCellMar>
        </w:tblPrEx>
        <w:trPr>
          <w:trHeight w:val="298"/>
        </w:trPr>
        <w:tc>
          <w:tcPr>
            <w:tcW w:w="216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239</w:t>
      </w: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вул.Радiщева,2, 0505551165</w:t>
      </w: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351177" w:rsidTr="0047638F">
        <w:tblPrEx>
          <w:tblCellMar>
            <w:top w:w="0" w:type="dxa"/>
            <w:bottom w:w="0" w:type="dxa"/>
          </w:tblCellMar>
        </w:tblPrEx>
        <w:trPr>
          <w:trHeight w:val="298"/>
        </w:trPr>
        <w:tc>
          <w:tcPr>
            <w:tcW w:w="8280" w:type="dxa"/>
            <w:vMerge w:val="restart"/>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351177" w:rsidTr="0047638F">
        <w:tblPrEx>
          <w:tblCellMar>
            <w:top w:w="0" w:type="dxa"/>
            <w:bottom w:w="0" w:type="dxa"/>
          </w:tblCellMar>
        </w:tblPrEx>
        <w:trPr>
          <w:trHeight w:val="298"/>
        </w:trPr>
        <w:tc>
          <w:tcPr>
            <w:tcW w:w="8280" w:type="dxa"/>
            <w:vMerge w:val="restart"/>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31.12.2019 p.</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351177" w:rsidTr="0047638F">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351177" w:rsidTr="0047638F">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23 009</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22 084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36 897</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35 689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( 13 888 )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( 13 605 )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2 806</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2 509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5 288</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( 2 482 )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( 2 767 )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25 822</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24 652</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1 338</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1 198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278</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722</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96</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2 339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2 746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28 161</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27 398</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51177" w:rsidTr="0047638F">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-6 945</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6 278</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6 108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267</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442</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208</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204</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695</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681</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939</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1 459</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1 015</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272</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9 444</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9 201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28 161</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27 398</w:t>
            </w:r>
          </w:p>
        </w:tc>
      </w:tr>
    </w:tbl>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Активи товариства зменшились на три вiдсотки </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sectPr w:rsidR="00351177">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351177" w:rsidTr="0047638F">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51177" w:rsidTr="0047638F">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25.01.2020</w:t>
            </w:r>
          </w:p>
        </w:tc>
      </w:tr>
      <w:tr w:rsidR="00351177" w:rsidTr="0047638F">
        <w:tblPrEx>
          <w:tblCellMar>
            <w:top w:w="0" w:type="dxa"/>
            <w:bottom w:w="0" w:type="dxa"/>
          </w:tblCellMar>
        </w:tblPrEx>
        <w:trPr>
          <w:trHeight w:val="298"/>
        </w:trPr>
        <w:tc>
          <w:tcPr>
            <w:tcW w:w="216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2019 рік</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351177" w:rsidTr="0047638F">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351177" w:rsidTr="0047638F">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41 316</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40 665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( 39 292 )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( 40 235 )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2 024</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6 813</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6 563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( 4 948 )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( 6 097 )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( 4 377 )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( 3 002 )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( 488 )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( 2 106 )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( 97 )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( 59 )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( 534 )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( 2 146 )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( 520 )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( 2 162 )</w:t>
            </w:r>
          </w:p>
        </w:tc>
      </w:tr>
    </w:tbl>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51177" w:rsidTr="0047638F">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-2 162</w:t>
            </w:r>
          </w:p>
        </w:tc>
      </w:tr>
    </w:tbl>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51177" w:rsidTr="0047638F">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23 879</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26 748</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12 622</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12 006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3 090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2 830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1 936</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2 141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7 093</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5 525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48 620</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49 250</w:t>
            </w:r>
          </w:p>
        </w:tc>
      </w:tr>
    </w:tbl>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351177" w:rsidTr="0047638F">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збиток - 520 тис.грн.</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sectPr w:rsidR="00351177">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351177" w:rsidTr="0047638F">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51177" w:rsidTr="0047638F">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351177" w:rsidTr="0047638F">
        <w:tblPrEx>
          <w:tblCellMar>
            <w:top w:w="0" w:type="dxa"/>
            <w:bottom w:w="0" w:type="dxa"/>
          </w:tblCellMar>
        </w:tblPrEx>
        <w:tc>
          <w:tcPr>
            <w:tcW w:w="216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2019 рік</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351177" w:rsidTr="0047638F">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p>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43 670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43 357</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6 437</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6 296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6 437</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6 296</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1 702</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1 255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( 29 825 )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( 32 493 )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( 10 130 )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( 9 468 )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( 3 094 )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( 2 937 )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( 5 057 )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( 5 224 )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( 1 684 )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( 2 297 )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( 3 373 )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( 2 927 )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( 722 )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( 278 )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( 15 )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( 1 452 )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( 1 017 )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2 024</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( 979 )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( 1 224 )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-961</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-1 203</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1 195</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( 869 )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( 426 )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( 41 )</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w:t>
            </w:r>
          </w:p>
        </w:tc>
        <w:tc>
          <w:tcPr>
            <w:tcW w:w="1645"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w:t>
            </w:r>
          </w:p>
        </w:tc>
      </w:tr>
    </w:tbl>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Залишок коштiв на кiнець року 409 тис.грн.</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sectPr w:rsidR="00351177">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351177" w:rsidTr="0047638F">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351177" w:rsidTr="0047638F">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01.01.2020</w:t>
            </w:r>
          </w:p>
        </w:tc>
      </w:tr>
      <w:tr w:rsidR="00351177" w:rsidTr="0047638F">
        <w:tblPrEx>
          <w:tblCellMar>
            <w:top w:w="0" w:type="dxa"/>
            <w:bottom w:w="0" w:type="dxa"/>
          </w:tblCellMar>
        </w:tblPrEx>
        <w:tc>
          <w:tcPr>
            <w:tcW w:w="2240" w:type="dxa"/>
            <w:tcBorders>
              <w:top w:val="nil"/>
              <w:left w:val="nil"/>
              <w:bottom w:val="nil"/>
              <w:right w:val="nil"/>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351177" w:rsidRDefault="00351177" w:rsidP="00351177">
      <w:pPr>
        <w:widowControl w:val="0"/>
        <w:autoSpaceDE w:val="0"/>
        <w:autoSpaceDN w:val="0"/>
        <w:adjustRightInd w:val="0"/>
        <w:spacing w:after="0" w:line="240" w:lineRule="auto"/>
        <w:rPr>
          <w:rFonts w:ascii="Times New Roman CYR" w:hAnsi="Times New Roman CYR" w:cs="Times New Roman CYR"/>
          <w:sz w:val="24"/>
          <w:szCs w:val="24"/>
        </w:rPr>
      </w:pP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2019 рік</w:t>
      </w:r>
    </w:p>
    <w:p w:rsidR="00351177" w:rsidRDefault="00351177" w:rsidP="0035117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351177" w:rsidTr="0047638F">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351177" w:rsidRDefault="00351177" w:rsidP="0047638F">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351177" w:rsidTr="0047638F">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-6 945</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-6 945</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18 717</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-520</w:t>
            </w:r>
          </w:p>
        </w:tc>
      </w:tr>
      <w:tr w:rsidR="00351177" w:rsidTr="0047638F">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351177" w:rsidRDefault="00351177" w:rsidP="0047638F">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10 408</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-7 465</w:t>
            </w:r>
          </w:p>
        </w:tc>
        <w:tc>
          <w:tcPr>
            <w:tcW w:w="15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351177" w:rsidRDefault="00351177" w:rsidP="0047638F">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18 197</w:t>
            </w:r>
          </w:p>
        </w:tc>
      </w:tr>
    </w:tbl>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Непокритий збиток складає  (-7465.00 тис.грн.)</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sectPr w:rsidR="00351177">
          <w:pgSz w:w="16838" w:h="11906"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sectPr w:rsidR="00351177">
          <w:pgSz w:w="16838" w:h="11906"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jc w:val="both"/>
        <w:rPr>
          <w:rFonts w:ascii="Times New Roman CYR" w:hAnsi="Times New Roman CYR" w:cs="Times New Roman CYR"/>
        </w:rPr>
        <w:sectPr w:rsidR="00351177">
          <w:pgSz w:w="16838" w:h="11906" w:orient="landscape"/>
          <w:pgMar w:top="570" w:right="720" w:bottom="570" w:left="720" w:header="708" w:footer="708" w:gutter="0"/>
          <w:cols w:space="720"/>
          <w:noEndnote/>
        </w:sect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351177" w:rsidRDefault="00351177" w:rsidP="00351177">
      <w:pPr>
        <w:widowControl w:val="0"/>
        <w:autoSpaceDE w:val="0"/>
        <w:autoSpaceDN w:val="0"/>
        <w:adjustRightInd w:val="0"/>
        <w:spacing w:after="0" w:line="240" w:lineRule="auto"/>
        <w:rPr>
          <w:rFonts w:ascii="Times New Roman CYR" w:hAnsi="Times New Roman CYR" w:cs="Times New Roman CYR"/>
        </w:rPr>
      </w:pPr>
    </w:p>
    <w:p w:rsidR="002B0F75" w:rsidRPr="00351177" w:rsidRDefault="002B0F75" w:rsidP="00351177"/>
    <w:sectPr w:rsidR="002B0F75" w:rsidRPr="00351177">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compat/>
  <w:rsids>
    <w:rsidRoot w:val="004F532F"/>
    <w:rsid w:val="00063979"/>
    <w:rsid w:val="001956E1"/>
    <w:rsid w:val="002A2EA5"/>
    <w:rsid w:val="002B0F75"/>
    <w:rsid w:val="00351177"/>
    <w:rsid w:val="004755E8"/>
    <w:rsid w:val="004F532F"/>
    <w:rsid w:val="005426D1"/>
    <w:rsid w:val="005F1523"/>
    <w:rsid w:val="006F69AF"/>
    <w:rsid w:val="00735BD9"/>
    <w:rsid w:val="00775597"/>
    <w:rsid w:val="007766FE"/>
    <w:rsid w:val="007A06CF"/>
    <w:rsid w:val="009404C0"/>
    <w:rsid w:val="009A26EE"/>
    <w:rsid w:val="00A169B5"/>
    <w:rsid w:val="00A363F2"/>
    <w:rsid w:val="00AE61A2"/>
    <w:rsid w:val="00B4257A"/>
    <w:rsid w:val="00B97B18"/>
    <w:rsid w:val="00BE14D3"/>
    <w:rsid w:val="00D72D3B"/>
    <w:rsid w:val="00E05B2C"/>
    <w:rsid w:val="00E9565C"/>
    <w:rsid w:val="00EF3D5E"/>
    <w:rsid w:val="00F204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32F"/>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57</Pages>
  <Words>71136</Words>
  <Characters>40548</Characters>
  <Application>Microsoft Office Word</Application>
  <DocSecurity>0</DocSecurity>
  <Lines>337</Lines>
  <Paragraphs>222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2026-05-06T10:42:00Z</dcterms:created>
  <dcterms:modified xsi:type="dcterms:W3CDTF">2026-05-24T12:50:00Z</dcterms:modified>
</cp:coreProperties>
</file>